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670A9"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4"/>
          <w:szCs w:val="28"/>
          <w:lang w:eastAsia="ru-RU"/>
        </w:rPr>
        <w:t>Приложение № 1</w:t>
      </w:r>
    </w:p>
    <w:p w14:paraId="308CEFD1"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4"/>
          <w:szCs w:val="28"/>
          <w:lang w:eastAsia="ru-RU"/>
        </w:rPr>
        <w:t xml:space="preserve">к решению территориальной избирательной комиссии </w:t>
      </w:r>
    </w:p>
    <w:p w14:paraId="29D8F866"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4"/>
          <w:szCs w:val="28"/>
          <w:lang w:eastAsia="ru-RU"/>
        </w:rPr>
        <w:t>Ильинского городского округа от 24.07.2024 № 47/04-5</w:t>
      </w:r>
    </w:p>
    <w:p w14:paraId="03BE21D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b/>
          <w:bCs/>
          <w:sz w:val="24"/>
          <w:szCs w:val="28"/>
          <w:lang w:eastAsia="ru-RU"/>
        </w:rPr>
      </w:pPr>
    </w:p>
    <w:p w14:paraId="3026200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145D3">
        <w:rPr>
          <w:rFonts w:ascii="Times New Roman" w:eastAsia="Times New Roman" w:hAnsi="Times New Roman" w:cs="Times New Roman"/>
          <w:b/>
          <w:bCs/>
          <w:sz w:val="28"/>
          <w:szCs w:val="28"/>
          <w:lang w:eastAsia="ru-RU"/>
        </w:rPr>
        <w:t>ПОРЯДОК</w:t>
      </w:r>
    </w:p>
    <w:p w14:paraId="41A8B431"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145D3">
        <w:rPr>
          <w:rFonts w:ascii="Times New Roman" w:eastAsia="Times New Roman" w:hAnsi="Times New Roman" w:cs="Times New Roman"/>
          <w:b/>
          <w:bCs/>
          <w:sz w:val="28"/>
          <w:szCs w:val="28"/>
          <w:lang w:eastAsia="ru-RU"/>
        </w:rPr>
        <w:t>ПРЕДСТАВЛЕНИЯ СПИСКА НАЗНАЧЕННЫХ НАБЛЮДАТЕЛЕЙ ПРИ ПРОВЕДЕНИИ ВЫБОРОВ ДЕПУТАТОВ ДУМЫ ИЛЬИНСКОГО ГОРОДСКОГО ОКРУГА ВТОРОГО</w:t>
      </w:r>
      <w:r w:rsidRPr="008145D3">
        <w:rPr>
          <w:rFonts w:ascii="Times New Roman" w:eastAsia="Times New Roman" w:hAnsi="Times New Roman" w:cs="Times New Roman"/>
          <w:sz w:val="28"/>
          <w:szCs w:val="28"/>
          <w:lang w:eastAsia="ru-RU"/>
        </w:rPr>
        <w:t xml:space="preserve"> </w:t>
      </w:r>
      <w:r w:rsidRPr="008145D3">
        <w:rPr>
          <w:rFonts w:ascii="Times New Roman" w:eastAsia="Times New Roman" w:hAnsi="Times New Roman" w:cs="Times New Roman"/>
          <w:b/>
          <w:bCs/>
          <w:sz w:val="28"/>
          <w:szCs w:val="28"/>
          <w:lang w:eastAsia="ru-RU"/>
        </w:rPr>
        <w:t xml:space="preserve">СОЗЫВА </w:t>
      </w:r>
    </w:p>
    <w:p w14:paraId="0015A65A"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9B8969" w14:textId="77777777" w:rsidR="008145D3" w:rsidRPr="008145D3" w:rsidRDefault="008145D3" w:rsidP="008145D3">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8145D3">
        <w:rPr>
          <w:rFonts w:ascii="Times New Roman" w:eastAsia="Times New Roman" w:hAnsi="Times New Roman" w:cs="Times New Roman"/>
          <w:b/>
          <w:bCs/>
          <w:sz w:val="28"/>
          <w:szCs w:val="28"/>
          <w:lang w:eastAsia="ru-RU"/>
        </w:rPr>
        <w:t>1. Общие положения</w:t>
      </w:r>
    </w:p>
    <w:p w14:paraId="3EF35C42"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92732A9"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1.1. Настоящий Порядок представления списка назначенных наблюдателей при проведении выборов депутатов Думы Ильинского городского округа второго созыва (далее - Порядок) разработан на основании </w:t>
      </w:r>
      <w:hyperlink r:id="rId4" w:history="1">
        <w:r w:rsidRPr="008145D3">
          <w:rPr>
            <w:rFonts w:ascii="Times New Roman" w:eastAsia="Times New Roman" w:hAnsi="Times New Roman" w:cs="Times New Roman"/>
            <w:sz w:val="28"/>
            <w:szCs w:val="28"/>
            <w:lang w:eastAsia="ru-RU"/>
          </w:rPr>
          <w:t>части 6.1 статьи 23</w:t>
        </w:r>
      </w:hyperlink>
      <w:r w:rsidRPr="008145D3">
        <w:rPr>
          <w:rFonts w:ascii="Times New Roman" w:eastAsia="Times New Roman" w:hAnsi="Times New Roman" w:cs="Times New Roman"/>
          <w:sz w:val="28"/>
          <w:szCs w:val="28"/>
          <w:lang w:eastAsia="ru-RU"/>
        </w:rPr>
        <w:t xml:space="preserve"> Закона Пермского края от 09.11.2009 № 525-ПК «О выборах депутатов представительных органов муниципальных образований Пермского края» (далее - Закон № 525-ПК).</w:t>
      </w:r>
    </w:p>
    <w:p w14:paraId="0FCF3957"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1.2. На основании </w:t>
      </w:r>
      <w:hyperlink r:id="rId5" w:history="1">
        <w:r w:rsidRPr="008145D3">
          <w:rPr>
            <w:rFonts w:ascii="Times New Roman" w:eastAsia="Times New Roman" w:hAnsi="Times New Roman" w:cs="Times New Roman"/>
            <w:sz w:val="28"/>
            <w:szCs w:val="28"/>
            <w:lang w:eastAsia="ru-RU"/>
          </w:rPr>
          <w:t>части 8 статьи 23</w:t>
        </w:r>
      </w:hyperlink>
      <w:r w:rsidRPr="008145D3">
        <w:rPr>
          <w:rFonts w:ascii="Times New Roman" w:eastAsia="Times New Roman" w:hAnsi="Times New Roman" w:cs="Times New Roman"/>
          <w:sz w:val="28"/>
          <w:szCs w:val="28"/>
          <w:lang w:eastAsia="ru-RU"/>
        </w:rPr>
        <w:t xml:space="preserve"> и </w:t>
      </w:r>
      <w:hyperlink r:id="rId6" w:history="1">
        <w:r w:rsidRPr="008145D3">
          <w:rPr>
            <w:rFonts w:ascii="Times New Roman" w:eastAsia="Times New Roman" w:hAnsi="Times New Roman" w:cs="Times New Roman"/>
            <w:sz w:val="28"/>
            <w:szCs w:val="28"/>
            <w:lang w:eastAsia="ru-RU"/>
          </w:rPr>
          <w:t>части 4 статьи 64.1</w:t>
        </w:r>
      </w:hyperlink>
      <w:r w:rsidRPr="008145D3">
        <w:rPr>
          <w:rFonts w:ascii="Times New Roman" w:eastAsia="Times New Roman" w:hAnsi="Times New Roman" w:cs="Times New Roman"/>
          <w:sz w:val="28"/>
          <w:szCs w:val="28"/>
          <w:lang w:eastAsia="ru-RU"/>
        </w:rPr>
        <w:t xml:space="preserve"> Закона </w:t>
      </w:r>
      <w:r w:rsidRPr="008145D3">
        <w:rPr>
          <w:rFonts w:ascii="Times New Roman" w:eastAsia="Times New Roman" w:hAnsi="Times New Roman" w:cs="Times New Roman"/>
          <w:sz w:val="28"/>
          <w:szCs w:val="28"/>
          <w:lang w:eastAsia="ru-RU"/>
        </w:rPr>
        <w:br/>
        <w:t>№ 525-ПК наблюдатели вправе осуществлять наблюдение при проведении голосования в помещении для голосования, вне помещения для голосования, в дни досрочного голосования, а также при проведении голосования с использованием дополнительных возможностей реализации избирательных прав.</w:t>
      </w:r>
    </w:p>
    <w:p w14:paraId="1BD77E13"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1.3. В каждую участковую избирательную комиссию (далее - УИК) и территориальную избирательную комиссию (далее - ТИК) от каждого кандидата, зарегистрированного по соответствующему одномандатному (многомандатному) избирательному округу (далее - кандидат), каждого избирательного объединения, выдвинувшего зарегистрированного кандидата (далее – избирательное объединение), каждого субъекта общественного контроля, указанного в </w:t>
      </w:r>
      <w:hyperlink r:id="rId7" w:history="1">
        <w:r w:rsidRPr="008145D3">
          <w:rPr>
            <w:rFonts w:ascii="Times New Roman" w:eastAsia="Times New Roman" w:hAnsi="Times New Roman" w:cs="Times New Roman"/>
            <w:sz w:val="28"/>
            <w:szCs w:val="28"/>
            <w:lang w:eastAsia="ru-RU"/>
          </w:rPr>
          <w:t>пунктах 1</w:t>
        </w:r>
      </w:hyperlink>
      <w:r w:rsidRPr="008145D3">
        <w:rPr>
          <w:rFonts w:ascii="Times New Roman" w:eastAsia="Times New Roman" w:hAnsi="Times New Roman" w:cs="Times New Roman"/>
          <w:sz w:val="28"/>
          <w:szCs w:val="28"/>
          <w:lang w:eastAsia="ru-RU"/>
        </w:rPr>
        <w:t xml:space="preserve"> и </w:t>
      </w:r>
      <w:hyperlink r:id="rId8" w:history="1">
        <w:r w:rsidRPr="008145D3">
          <w:rPr>
            <w:rFonts w:ascii="Times New Roman" w:eastAsia="Times New Roman" w:hAnsi="Times New Roman" w:cs="Times New Roman"/>
            <w:sz w:val="28"/>
            <w:szCs w:val="28"/>
            <w:lang w:eastAsia="ru-RU"/>
          </w:rPr>
          <w:t>2 части 1 статьи 9</w:t>
        </w:r>
      </w:hyperlink>
      <w:r w:rsidRPr="008145D3">
        <w:rPr>
          <w:rFonts w:ascii="Times New Roman" w:eastAsia="Times New Roman" w:hAnsi="Times New Roman" w:cs="Times New Roman"/>
          <w:sz w:val="28"/>
          <w:szCs w:val="28"/>
          <w:lang w:eastAsia="ru-RU"/>
        </w:rPr>
        <w:t xml:space="preserve"> Федерального закона от 21 июля 2014 года № 212-ФЗ «Об основах общественного контроля в Российской Федерации» (далее - субъект общественного контроля), может быть назначено не более трех наблюдателей (в случае принятия решения о голосовании в течение нескольких дней подряд - из расчета не более трех наблюдателей на каждый день голосования), имеющих право поочередно осуществлять наблюдение в помещении для голосования, в помещении, в котором осуществляется прием протоколов об итогах голосования, суммирование данных этих протоколов, присутствовать при установлении итогов голосования, составлении протоколов об итогах голосования, а также при повторном подсчете голосов избирателей.</w:t>
      </w:r>
    </w:p>
    <w:p w14:paraId="350C4C9C"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Одно и то же лицо может быть назначено наблюдателем только в одну избирательную комиссию.</w:t>
      </w:r>
    </w:p>
    <w:p w14:paraId="33E3CEDF"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1.4. Кандидаты, избирательные объединения, субъекты общественного контроля при назначении наблюдателей проверяют наличие у лица активного избирательного права на выборах депутатов Думы Ильинского городского округа и отсутствие ограничений, предусмотренных </w:t>
      </w:r>
      <w:hyperlink r:id="rId9" w:history="1">
        <w:r w:rsidRPr="008145D3">
          <w:rPr>
            <w:rFonts w:ascii="Times New Roman" w:eastAsia="Times New Roman" w:hAnsi="Times New Roman" w:cs="Times New Roman"/>
            <w:sz w:val="28"/>
            <w:szCs w:val="28"/>
            <w:lang w:eastAsia="ru-RU"/>
          </w:rPr>
          <w:t>частью 4 статьи 23</w:t>
        </w:r>
      </w:hyperlink>
      <w:r w:rsidRPr="008145D3">
        <w:rPr>
          <w:rFonts w:ascii="Times New Roman" w:eastAsia="Times New Roman" w:hAnsi="Times New Roman" w:cs="Times New Roman"/>
          <w:sz w:val="28"/>
          <w:szCs w:val="28"/>
          <w:lang w:eastAsia="ru-RU"/>
        </w:rPr>
        <w:t xml:space="preserve"> Закона № 525-ПК &lt;1&gt;.</w:t>
      </w:r>
    </w:p>
    <w:p w14:paraId="4583FE74"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73C57FE1"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8"/>
          <w:szCs w:val="28"/>
          <w:lang w:eastAsia="ru-RU"/>
        </w:rPr>
        <w:lastRenderedPageBreak/>
        <w:t xml:space="preserve">&lt;1&gt; </w:t>
      </w:r>
      <w:r w:rsidRPr="008145D3">
        <w:rPr>
          <w:rFonts w:ascii="Times New Roman" w:eastAsia="Times New Roman" w:hAnsi="Times New Roman" w:cs="Times New Roman"/>
          <w:sz w:val="24"/>
          <w:szCs w:val="24"/>
          <w:lang w:eastAsia="ru-RU"/>
        </w:rPr>
        <w:t>Наблюдателями не могут быть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14:paraId="7AC7CF79"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E6F5528"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1.5. В случае несоблюдения требований и ограничений, предусмотренных </w:t>
      </w:r>
      <w:hyperlink r:id="rId10" w:history="1">
        <w:r w:rsidRPr="008145D3">
          <w:rPr>
            <w:rFonts w:ascii="Times New Roman" w:eastAsia="Times New Roman" w:hAnsi="Times New Roman" w:cs="Times New Roman"/>
            <w:sz w:val="28"/>
            <w:szCs w:val="28"/>
            <w:lang w:eastAsia="ru-RU"/>
          </w:rPr>
          <w:t>частью 4 статьи 23</w:t>
        </w:r>
      </w:hyperlink>
      <w:r w:rsidRPr="008145D3">
        <w:rPr>
          <w:rFonts w:ascii="Times New Roman" w:eastAsia="Times New Roman" w:hAnsi="Times New Roman" w:cs="Times New Roman"/>
          <w:sz w:val="28"/>
          <w:szCs w:val="28"/>
          <w:lang w:eastAsia="ru-RU"/>
        </w:rPr>
        <w:t xml:space="preserve"> Закона № 525-ПК, такое лицо не может быть назначено наблюдателем.</w:t>
      </w:r>
    </w:p>
    <w:p w14:paraId="7022D7A4"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3B78EF1" w14:textId="77777777" w:rsidR="008145D3" w:rsidRPr="008145D3" w:rsidRDefault="008145D3" w:rsidP="008145D3">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8145D3">
        <w:rPr>
          <w:rFonts w:ascii="Times New Roman" w:eastAsia="Times New Roman" w:hAnsi="Times New Roman" w:cs="Times New Roman"/>
          <w:b/>
          <w:bCs/>
          <w:sz w:val="28"/>
          <w:szCs w:val="28"/>
          <w:lang w:eastAsia="ru-RU"/>
        </w:rPr>
        <w:t>2. Представление списка назначенных наблюдателей в ТИК</w:t>
      </w:r>
    </w:p>
    <w:p w14:paraId="33F35771"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96E641E"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2.1. Кандидат, избирательное объединение, субъект общественного контроля, назначившие наблюдателей в УИК и ТИК, представляют список назначенных наблюдателей при проведении выборов депутатов Думы Ильинского городского округа второго созыва (далее - Список) в ТИК Ильинского городского округа, не позднее чем за три дня до дня (первого дня) голосования (до дня досрочного голосования). Список представляется одновременно на бумажном носителе и в машиночитаемом виде по формам, утвержденным территориальной избирательной комиссией Ильинского городского округа. При этом сведения о наблюдателях, указанные в Списке, представленном на бумажном носителе и в машиночитаемом виде, должны совпадать.</w:t>
      </w:r>
    </w:p>
    <w:p w14:paraId="3B03931D"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2.2. В последний день приема Списка он может быть представлен в ТИК Ильинского городского округа, не позднее времени окончания работы комиссии (17 часов по местному времени).</w:t>
      </w:r>
    </w:p>
    <w:p w14:paraId="132F8C91"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2.3. В случае назначения наблюдателей в УИК кандидат, избирательное объединение, субъект общественного контроля могут представить как общий Список по всем избирательным участкам, так и несколько списков по ряду избирательных участков в разное время с учетом предельных сроков осуществления данных действий.</w:t>
      </w:r>
    </w:p>
    <w:p w14:paraId="22303FAA"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0" w:name="Par33"/>
      <w:bookmarkEnd w:id="0"/>
      <w:r w:rsidRPr="008145D3">
        <w:rPr>
          <w:rFonts w:ascii="Times New Roman" w:eastAsia="Times New Roman" w:hAnsi="Times New Roman" w:cs="Times New Roman"/>
          <w:sz w:val="28"/>
          <w:szCs w:val="28"/>
          <w:lang w:eastAsia="ru-RU"/>
        </w:rPr>
        <w:t>2.4. В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(в случае назначения наблюдателя в УИК), наименование ТИК (в случае назначения наблюдателя в ТИК Ильинского городского округа), в которую он направляется, а также дата осуществления наблюдения. Также рекомендуется указывать контактный телефон наблюдателя.</w:t>
      </w:r>
    </w:p>
    <w:p w14:paraId="30071DF2"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В Списке также делается запись, подтверждающая, что наблюдатели, указанные в нем, не подпадают под ограничения, установленные </w:t>
      </w:r>
      <w:hyperlink r:id="rId11" w:history="1">
        <w:r w:rsidRPr="008145D3">
          <w:rPr>
            <w:rFonts w:ascii="Times New Roman" w:eastAsia="Times New Roman" w:hAnsi="Times New Roman" w:cs="Times New Roman"/>
            <w:sz w:val="28"/>
            <w:szCs w:val="28"/>
            <w:lang w:eastAsia="ru-RU"/>
          </w:rPr>
          <w:t>частью 4 статьи 23</w:t>
        </w:r>
      </w:hyperlink>
      <w:r w:rsidRPr="008145D3">
        <w:rPr>
          <w:rFonts w:ascii="Times New Roman" w:eastAsia="Times New Roman" w:hAnsi="Times New Roman" w:cs="Times New Roman"/>
          <w:sz w:val="28"/>
          <w:szCs w:val="28"/>
          <w:lang w:eastAsia="ru-RU"/>
        </w:rPr>
        <w:t xml:space="preserve"> Закона № 525-ПК.</w:t>
      </w:r>
    </w:p>
    <w:p w14:paraId="1C14A7CE"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2.5. Список наблюдателей, назначенных избирательным объединением, субъектом общественного контроля, на бумажном носителе должен быть подписан уполномоченным лицом избирательного объединения, субъекта </w:t>
      </w:r>
      <w:r w:rsidRPr="008145D3">
        <w:rPr>
          <w:rFonts w:ascii="Times New Roman" w:eastAsia="Times New Roman" w:hAnsi="Times New Roman" w:cs="Times New Roman"/>
          <w:sz w:val="28"/>
          <w:szCs w:val="28"/>
          <w:lang w:eastAsia="ru-RU"/>
        </w:rPr>
        <w:lastRenderedPageBreak/>
        <w:t>общественного контроля и заверен печатью. Список наблюдателей, назначенных кандидатом, на бумажном носителе подписывается указанным кандидатом, заверение печатью не требуется.</w:t>
      </w:r>
    </w:p>
    <w:p w14:paraId="5F7649F9"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2.6. Список в машиночитаемом виде представляется в формате .</w:t>
      </w:r>
      <w:proofErr w:type="spellStart"/>
      <w:r w:rsidRPr="008145D3">
        <w:rPr>
          <w:rFonts w:ascii="Times New Roman" w:eastAsia="Times New Roman" w:hAnsi="Times New Roman" w:cs="Times New Roman"/>
          <w:sz w:val="28"/>
          <w:szCs w:val="28"/>
          <w:lang w:eastAsia="ru-RU"/>
        </w:rPr>
        <w:t>xls</w:t>
      </w:r>
      <w:proofErr w:type="spellEnd"/>
      <w:r w:rsidRPr="008145D3">
        <w:rPr>
          <w:rFonts w:ascii="Times New Roman" w:eastAsia="Times New Roman" w:hAnsi="Times New Roman" w:cs="Times New Roman"/>
          <w:sz w:val="28"/>
          <w:szCs w:val="28"/>
          <w:lang w:eastAsia="ru-RU"/>
        </w:rPr>
        <w:t>, .</w:t>
      </w:r>
      <w:proofErr w:type="spellStart"/>
      <w:r w:rsidRPr="008145D3">
        <w:rPr>
          <w:rFonts w:ascii="Times New Roman" w:eastAsia="Times New Roman" w:hAnsi="Times New Roman" w:cs="Times New Roman"/>
          <w:sz w:val="28"/>
          <w:szCs w:val="28"/>
          <w:lang w:eastAsia="ru-RU"/>
        </w:rPr>
        <w:t>doc</w:t>
      </w:r>
      <w:proofErr w:type="spellEnd"/>
      <w:r w:rsidRPr="008145D3">
        <w:rPr>
          <w:rFonts w:ascii="Times New Roman" w:eastAsia="Times New Roman" w:hAnsi="Times New Roman" w:cs="Times New Roman"/>
          <w:sz w:val="28"/>
          <w:szCs w:val="28"/>
          <w:lang w:eastAsia="ru-RU"/>
        </w:rPr>
        <w:t xml:space="preserve"> или .</w:t>
      </w:r>
      <w:proofErr w:type="spellStart"/>
      <w:r w:rsidRPr="008145D3">
        <w:rPr>
          <w:rFonts w:ascii="Times New Roman" w:eastAsia="Times New Roman" w:hAnsi="Times New Roman" w:cs="Times New Roman"/>
          <w:sz w:val="28"/>
          <w:szCs w:val="28"/>
          <w:lang w:eastAsia="ru-RU"/>
        </w:rPr>
        <w:t>rtf</w:t>
      </w:r>
      <w:proofErr w:type="spellEnd"/>
      <w:r w:rsidRPr="008145D3">
        <w:rPr>
          <w:rFonts w:ascii="Times New Roman" w:eastAsia="Times New Roman" w:hAnsi="Times New Roman" w:cs="Times New Roman"/>
          <w:sz w:val="28"/>
          <w:szCs w:val="28"/>
          <w:lang w:eastAsia="ru-RU"/>
        </w:rPr>
        <w:t xml:space="preserve"> с именем </w:t>
      </w:r>
      <w:proofErr w:type="spellStart"/>
      <w:r w:rsidRPr="008145D3">
        <w:rPr>
          <w:rFonts w:ascii="Times New Roman" w:eastAsia="Times New Roman" w:hAnsi="Times New Roman" w:cs="Times New Roman"/>
          <w:sz w:val="28"/>
          <w:szCs w:val="28"/>
          <w:lang w:eastAsia="ru-RU"/>
        </w:rPr>
        <w:t>Nabludateli</w:t>
      </w:r>
      <w:proofErr w:type="spellEnd"/>
      <w:r w:rsidRPr="008145D3">
        <w:rPr>
          <w:rFonts w:ascii="Times New Roman" w:eastAsia="Times New Roman" w:hAnsi="Times New Roman" w:cs="Times New Roman"/>
          <w:sz w:val="28"/>
          <w:szCs w:val="28"/>
          <w:lang w:eastAsia="ru-RU"/>
        </w:rPr>
        <w:t>. При заполнении таблицы не следует объединять или разделять ее графы.</w:t>
      </w:r>
    </w:p>
    <w:p w14:paraId="5800C1E1"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01AA836" w14:textId="77777777" w:rsidR="008145D3" w:rsidRPr="008145D3" w:rsidRDefault="008145D3" w:rsidP="008145D3">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8145D3">
        <w:rPr>
          <w:rFonts w:ascii="Times New Roman" w:eastAsia="Times New Roman" w:hAnsi="Times New Roman" w:cs="Times New Roman"/>
          <w:b/>
          <w:bCs/>
          <w:sz w:val="28"/>
          <w:szCs w:val="28"/>
          <w:lang w:eastAsia="ru-RU"/>
        </w:rPr>
        <w:t>3. Работа со Списком в ТИК</w:t>
      </w:r>
    </w:p>
    <w:p w14:paraId="09B3E06F"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4B5BA5F"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3.1. ТИК Ильинского городского округа регистрирует Список как входящий документ с проставлением даты и времени его приема.</w:t>
      </w:r>
    </w:p>
    <w:p w14:paraId="5ABBA341"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3.2. При приеме Списка член ТИК Ильинского городского округа проверяет наличие в нем всех необходимых сведений о наблюдателях, предусмотренных избирательным законодательством, а также проверяет соответствие представленного Списка формам, утвержденным ТИК Ильинского городского округа, и проводит сверку сведений о наблюдателях в Списке, представленном на бумажном носителе и в машиночитаемом виде. В случае отсутствия сведений о наблюдателях, предусмотренных избирательным законодательством, а также в случае обнаружения иных недостатков в Списке, кандидат, уполномоченное лицо избирательного объединения, субъекта общественного контроля, представившие Список, уточняют необходимые сведения о наблюдателях и вносят их в Список с учетом предельных сроков представления Списка.</w:t>
      </w:r>
    </w:p>
    <w:p w14:paraId="6B72DF29"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 w:name="Par44"/>
      <w:bookmarkEnd w:id="1"/>
      <w:r w:rsidRPr="008145D3">
        <w:rPr>
          <w:rFonts w:ascii="Times New Roman" w:eastAsia="Times New Roman" w:hAnsi="Times New Roman" w:cs="Times New Roman"/>
          <w:sz w:val="28"/>
          <w:szCs w:val="28"/>
          <w:lang w:eastAsia="ru-RU"/>
        </w:rPr>
        <w:t>3.3. В случае если после представления Списка в ТИК Ильинского городского округа наступили обстоятельства, в результате которых наблюдатель по уважительной причине (болезнь, командировка и др.) не сможет осуществлять наблюдение в день (дни) голосования (досрочного голосования), кандидат, избирательное объединение, субъект общественного контроля вправе до дня (первого дня) голосования (досрочного голосования) назначить вместо этого наблюдателя другого, письменно уведомив об этом ТИК Ильинского городского округа и представив сведения о назначенном наблюдателе на бумажном носителе и в машиночитаемом виде по формам, утвержденным ТИК Ильинского городского округа.</w:t>
      </w:r>
    </w:p>
    <w:p w14:paraId="30E80CF9"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В случае если после представления Списка в ТИК Ильинского городского округа поступила информация о наличии у наблюдателя ограничений для осуществления наблюдения, предусмотренных </w:t>
      </w:r>
      <w:hyperlink r:id="rId12" w:history="1">
        <w:r w:rsidRPr="008145D3">
          <w:rPr>
            <w:rFonts w:ascii="Times New Roman" w:eastAsia="Times New Roman" w:hAnsi="Times New Roman" w:cs="Times New Roman"/>
            <w:sz w:val="28"/>
            <w:szCs w:val="28"/>
            <w:lang w:eastAsia="ru-RU"/>
          </w:rPr>
          <w:t xml:space="preserve">частью 4 статьи </w:t>
        </w:r>
      </w:hyperlink>
      <w:r w:rsidRPr="008145D3">
        <w:rPr>
          <w:rFonts w:ascii="Times New Roman" w:eastAsia="Times New Roman" w:hAnsi="Times New Roman" w:cs="Times New Roman"/>
          <w:sz w:val="28"/>
          <w:szCs w:val="28"/>
          <w:lang w:eastAsia="ru-RU"/>
        </w:rPr>
        <w:t>23 Закона № 525-ПК, кандидат, избирательное объединение, субъект общественного контроля вправе назначить вместо этого наблюдателя другого, письменно уведомив об этом ТИК Ильинского городского округа и представив сведения о назначенном наблюдателе на бумажном носителе и в машиночитаемом виде по формам, утвержденным ТИК Ильинского городского округа не позднее чем за три дня до дня (первого дня) голосования (досрочного голосования).</w:t>
      </w:r>
    </w:p>
    <w:p w14:paraId="514687A5"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3.4. При поступлении в ТИК Ильинского городского округа Списков наблюдателей, назначенных в УИК, секретарь ТИК, или член ТИК, в обязанности которого входит работа с наблюдателями, обеспечивает доведение информации из представленных в комиссию Списков до соответствующих УИК не позднее чем за один день до дня (первого дня) голосования (досрочного </w:t>
      </w:r>
      <w:r w:rsidRPr="008145D3">
        <w:rPr>
          <w:rFonts w:ascii="Times New Roman" w:eastAsia="Times New Roman" w:hAnsi="Times New Roman" w:cs="Times New Roman"/>
          <w:sz w:val="28"/>
          <w:szCs w:val="28"/>
          <w:lang w:eastAsia="ru-RU"/>
        </w:rPr>
        <w:lastRenderedPageBreak/>
        <w:t xml:space="preserve">голосования). Направление указанной информации рекомендуется осуществлять по форме, приведенной в </w:t>
      </w:r>
      <w:hyperlink w:anchor="Par73" w:history="1">
        <w:r w:rsidRPr="008145D3">
          <w:rPr>
            <w:rFonts w:ascii="Times New Roman" w:eastAsia="Times New Roman" w:hAnsi="Times New Roman" w:cs="Times New Roman"/>
            <w:sz w:val="28"/>
            <w:szCs w:val="28"/>
            <w:lang w:eastAsia="ru-RU"/>
          </w:rPr>
          <w:t>приложении</w:t>
        </w:r>
      </w:hyperlink>
      <w:r w:rsidRPr="008145D3">
        <w:rPr>
          <w:rFonts w:ascii="Times New Roman" w:eastAsia="Times New Roman" w:hAnsi="Times New Roman" w:cs="Times New Roman"/>
          <w:sz w:val="28"/>
          <w:szCs w:val="28"/>
          <w:lang w:eastAsia="ru-RU"/>
        </w:rPr>
        <w:t xml:space="preserve"> к Порядку.</w:t>
      </w:r>
    </w:p>
    <w:p w14:paraId="19CEA0F5"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3.5. В случае поступления в ТИК Ильинского городского округа уведомления, предусмотренного </w:t>
      </w:r>
      <w:hyperlink w:anchor="Par44" w:history="1">
        <w:r w:rsidRPr="008145D3">
          <w:rPr>
            <w:rFonts w:ascii="Times New Roman" w:eastAsia="Times New Roman" w:hAnsi="Times New Roman" w:cs="Times New Roman"/>
            <w:sz w:val="28"/>
            <w:szCs w:val="28"/>
            <w:lang w:eastAsia="ru-RU"/>
          </w:rPr>
          <w:t>абзацем первым пункта 3.3</w:t>
        </w:r>
      </w:hyperlink>
      <w:r w:rsidRPr="008145D3">
        <w:rPr>
          <w:rFonts w:ascii="Times New Roman" w:eastAsia="Times New Roman" w:hAnsi="Times New Roman" w:cs="Times New Roman"/>
          <w:sz w:val="28"/>
          <w:szCs w:val="28"/>
          <w:lang w:eastAsia="ru-RU"/>
        </w:rPr>
        <w:t xml:space="preserve"> Порядка, ТИК незамедлительно информирует об этом УИК, направив соответствующие сведения.</w:t>
      </w:r>
    </w:p>
    <w:p w14:paraId="27018C94" w14:textId="77777777" w:rsidR="008145D3" w:rsidRPr="008145D3" w:rsidRDefault="008145D3" w:rsidP="008145D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3.6. При представлении наблюдателем направления в УИК или ТИК Ильинского городского округа секретарем или иным членом соответствующей избирательной комиссии с правом решающего голоса, в обязанности которого входит работа с наблюдателями, в списке лиц, присутствовавших в помещении для голосования, помещении, в котором осуществляется прием протоколов об итогах голосования, суммирование данных этих протоколов, установление итогов голосования, делается запись о присутствии наблюдателя с указанием даты осуществления наблюдения, времени прибытия и убытия наблюдателя.</w:t>
      </w:r>
    </w:p>
    <w:p w14:paraId="017ADEBD"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1BFAB63"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11ECDAF"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5C573E9"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2FC9A78"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FBECBDB"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59F575E"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CE77D93"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07C954BC"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1C46C2A"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776661D"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4386518"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28AF540"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7EF868C"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B096AB8"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3500816"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052F58F"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9A31FF4"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20DA589"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0946711"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842B90A"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2C18183"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4924000"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9AE2FCB" w14:textId="437B87A1"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50F1595" w14:textId="5EBBFD1F"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CEA822C" w14:textId="7B90D21C"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DD96D63" w14:textId="19465A7D"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B0A3A10" w14:textId="12624AB0"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FD7F15E" w14:textId="7A537C29"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FCF2901" w14:textId="7964EBCB"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FB6C242" w14:textId="11472D07"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2973138" w14:textId="2D481CB8"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42827D8F" w14:textId="2317B210"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F16E4DB" w14:textId="0C56859F"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E50D2FD" w14:textId="2DBB36E3" w:rsid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0235696D"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A6C58E3"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499AC3A5" w14:textId="77777777" w:rsidR="008145D3" w:rsidRPr="008145D3" w:rsidRDefault="008145D3" w:rsidP="008145D3">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lastRenderedPageBreak/>
        <w:t>Приложение</w:t>
      </w:r>
    </w:p>
    <w:p w14:paraId="51508036"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к Порядку представления списка</w:t>
      </w:r>
    </w:p>
    <w:p w14:paraId="18536758"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назначенных наблюдателей при проведении</w:t>
      </w:r>
    </w:p>
    <w:p w14:paraId="52B058A2"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4"/>
          <w:szCs w:val="24"/>
          <w:lang w:eastAsia="ru-RU"/>
        </w:rPr>
        <w:t xml:space="preserve">выборов депутатов Думы </w:t>
      </w:r>
      <w:r w:rsidRPr="008145D3">
        <w:rPr>
          <w:rFonts w:ascii="Times New Roman" w:eastAsia="Times New Roman" w:hAnsi="Times New Roman" w:cs="Times New Roman"/>
          <w:sz w:val="24"/>
          <w:szCs w:val="28"/>
          <w:lang w:eastAsia="ru-RU"/>
        </w:rPr>
        <w:t xml:space="preserve">Ильинского </w:t>
      </w:r>
    </w:p>
    <w:p w14:paraId="52452B7F"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8"/>
          <w:lang w:eastAsia="ru-RU"/>
        </w:rPr>
        <w:t>городского округа второго</w:t>
      </w:r>
      <w:r w:rsidRPr="008145D3">
        <w:rPr>
          <w:rFonts w:ascii="Times New Roman" w:eastAsia="Times New Roman" w:hAnsi="Times New Roman" w:cs="Times New Roman"/>
          <w:sz w:val="24"/>
          <w:szCs w:val="24"/>
          <w:lang w:eastAsia="ru-RU"/>
        </w:rPr>
        <w:t xml:space="preserve"> созыва </w:t>
      </w:r>
    </w:p>
    <w:p w14:paraId="42A28F83"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1686F66"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(рекомендуемая форма)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276"/>
      </w:tblGrid>
      <w:tr w:rsidR="008145D3" w:rsidRPr="008145D3" w14:paraId="1DFFD7E6" w14:textId="77777777" w:rsidTr="00B87C06">
        <w:tc>
          <w:tcPr>
            <w:tcW w:w="9276" w:type="dxa"/>
          </w:tcPr>
          <w:p w14:paraId="4E86A1F3"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145D3" w:rsidRPr="008145D3" w14:paraId="54361230" w14:textId="77777777" w:rsidTr="00B87C06">
        <w:tc>
          <w:tcPr>
            <w:tcW w:w="9276" w:type="dxa"/>
            <w:tcBorders>
              <w:bottom w:val="single" w:sz="4" w:space="0" w:color="auto"/>
            </w:tcBorders>
          </w:tcPr>
          <w:p w14:paraId="7B0A4640"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Территориальная избирательная комиссия Ильинского городского округа</w:t>
            </w:r>
          </w:p>
        </w:tc>
      </w:tr>
      <w:tr w:rsidR="008145D3" w:rsidRPr="008145D3" w14:paraId="6696AA3C" w14:textId="77777777" w:rsidTr="00B87C06">
        <w:tc>
          <w:tcPr>
            <w:tcW w:w="9276" w:type="dxa"/>
            <w:tcBorders>
              <w:top w:val="single" w:sz="4" w:space="0" w:color="auto"/>
            </w:tcBorders>
          </w:tcPr>
          <w:p w14:paraId="3964AEE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145D3" w:rsidRPr="008145D3" w14:paraId="4F3BC355" w14:textId="77777777" w:rsidTr="00B87C06">
        <w:tc>
          <w:tcPr>
            <w:tcW w:w="9276" w:type="dxa"/>
          </w:tcPr>
          <w:p w14:paraId="3D0DA33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 xml:space="preserve">Выборы депутатов Думы Ильинского городского округа второго созыва </w:t>
            </w:r>
          </w:p>
        </w:tc>
      </w:tr>
      <w:tr w:rsidR="008145D3" w:rsidRPr="008145D3" w14:paraId="12F9ADBE" w14:textId="77777777" w:rsidTr="00B87C06">
        <w:tc>
          <w:tcPr>
            <w:tcW w:w="9276" w:type="dxa"/>
            <w:tcBorders>
              <w:bottom w:val="single" w:sz="4" w:space="0" w:color="auto"/>
            </w:tcBorders>
          </w:tcPr>
          <w:p w14:paraId="42C176DC"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5D3" w:rsidRPr="008145D3" w14:paraId="62B258EE" w14:textId="77777777" w:rsidTr="00B87C06">
        <w:tc>
          <w:tcPr>
            <w:tcW w:w="9276" w:type="dxa"/>
            <w:tcBorders>
              <w:top w:val="single" w:sz="4" w:space="0" w:color="auto"/>
            </w:tcBorders>
          </w:tcPr>
          <w:p w14:paraId="0F8B0102"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(номер одномандатного (многомандатного) избирательного округа)</w:t>
            </w:r>
          </w:p>
        </w:tc>
      </w:tr>
      <w:tr w:rsidR="008145D3" w:rsidRPr="008145D3" w14:paraId="2257D20F" w14:textId="77777777" w:rsidTr="00B87C06">
        <w:tc>
          <w:tcPr>
            <w:tcW w:w="9276" w:type="dxa"/>
          </w:tcPr>
          <w:p w14:paraId="6F0A8CEE"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2" w:name="Par73"/>
            <w:bookmarkEnd w:id="2"/>
            <w:r w:rsidRPr="008145D3">
              <w:rPr>
                <w:rFonts w:ascii="Times New Roman" w:eastAsia="Times New Roman" w:hAnsi="Times New Roman" w:cs="Times New Roman"/>
                <w:sz w:val="28"/>
                <w:szCs w:val="28"/>
                <w:lang w:eastAsia="ru-RU"/>
              </w:rPr>
              <w:t>СПИСОК НАБЛЮДАТЕЛЕЙ,</w:t>
            </w:r>
          </w:p>
          <w:p w14:paraId="02CD8AF0"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назначенных кандидатами, избирательными объединениями, субъектами общественного контроля в участковую избирательную комиссию избирательного участка № _____</w:t>
            </w:r>
          </w:p>
        </w:tc>
      </w:tr>
    </w:tbl>
    <w:p w14:paraId="1E225E1F"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540"/>
        <w:gridCol w:w="1545"/>
        <w:gridCol w:w="975"/>
        <w:gridCol w:w="1800"/>
        <w:gridCol w:w="1425"/>
        <w:gridCol w:w="1725"/>
        <w:gridCol w:w="1550"/>
      </w:tblGrid>
      <w:tr w:rsidR="008145D3" w:rsidRPr="008145D3" w14:paraId="563A6582" w14:textId="77777777" w:rsidTr="00B87C06">
        <w:tc>
          <w:tcPr>
            <w:tcW w:w="540" w:type="dxa"/>
            <w:tcBorders>
              <w:top w:val="single" w:sz="4" w:space="0" w:color="auto"/>
              <w:left w:val="single" w:sz="4" w:space="0" w:color="auto"/>
              <w:bottom w:val="single" w:sz="4" w:space="0" w:color="auto"/>
              <w:right w:val="single" w:sz="4" w:space="0" w:color="auto"/>
            </w:tcBorders>
          </w:tcPr>
          <w:p w14:paraId="27819F7C"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N п/п</w:t>
            </w:r>
          </w:p>
        </w:tc>
        <w:tc>
          <w:tcPr>
            <w:tcW w:w="1545" w:type="dxa"/>
            <w:tcBorders>
              <w:top w:val="single" w:sz="4" w:space="0" w:color="auto"/>
              <w:left w:val="single" w:sz="4" w:space="0" w:color="auto"/>
              <w:bottom w:val="single" w:sz="4" w:space="0" w:color="auto"/>
              <w:right w:val="single" w:sz="4" w:space="0" w:color="auto"/>
            </w:tcBorders>
          </w:tcPr>
          <w:p w14:paraId="32D011D1"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Фамилия, имя, отчество</w:t>
            </w:r>
          </w:p>
        </w:tc>
        <w:tc>
          <w:tcPr>
            <w:tcW w:w="975" w:type="dxa"/>
            <w:tcBorders>
              <w:top w:val="single" w:sz="4" w:space="0" w:color="auto"/>
              <w:left w:val="single" w:sz="4" w:space="0" w:color="auto"/>
              <w:bottom w:val="single" w:sz="4" w:space="0" w:color="auto"/>
              <w:right w:val="single" w:sz="4" w:space="0" w:color="auto"/>
            </w:tcBorders>
          </w:tcPr>
          <w:p w14:paraId="73485A7C"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рождения</w:t>
            </w:r>
          </w:p>
        </w:tc>
        <w:tc>
          <w:tcPr>
            <w:tcW w:w="1800" w:type="dxa"/>
            <w:tcBorders>
              <w:top w:val="single" w:sz="4" w:space="0" w:color="auto"/>
              <w:left w:val="single" w:sz="4" w:space="0" w:color="auto"/>
              <w:bottom w:val="single" w:sz="4" w:space="0" w:color="auto"/>
              <w:right w:val="single" w:sz="4" w:space="0" w:color="auto"/>
            </w:tcBorders>
          </w:tcPr>
          <w:p w14:paraId="39C445E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Серия, номер и дата выдачи паспорта или документа, заменяющего паспорт гражданина</w:t>
            </w:r>
          </w:p>
        </w:tc>
        <w:tc>
          <w:tcPr>
            <w:tcW w:w="1425" w:type="dxa"/>
            <w:tcBorders>
              <w:top w:val="single" w:sz="4" w:space="0" w:color="auto"/>
              <w:left w:val="single" w:sz="4" w:space="0" w:color="auto"/>
              <w:bottom w:val="single" w:sz="4" w:space="0" w:color="auto"/>
              <w:right w:val="single" w:sz="4" w:space="0" w:color="auto"/>
            </w:tcBorders>
          </w:tcPr>
          <w:p w14:paraId="39BA7653"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 xml:space="preserve">Адрес места жительства, контактный телефон </w:t>
            </w:r>
            <w:hyperlink w:anchor="Par115" w:history="1">
              <w:r w:rsidRPr="008145D3">
                <w:rPr>
                  <w:rFonts w:ascii="Times New Roman" w:eastAsia="Times New Roman" w:hAnsi="Times New Roman" w:cs="Times New Roman"/>
                  <w:sz w:val="20"/>
                  <w:szCs w:val="24"/>
                  <w:lang w:eastAsia="ru-RU"/>
                </w:rPr>
                <w:t>&lt;*&gt;</w:t>
              </w:r>
            </w:hyperlink>
          </w:p>
        </w:tc>
        <w:tc>
          <w:tcPr>
            <w:tcW w:w="1725" w:type="dxa"/>
            <w:tcBorders>
              <w:top w:val="single" w:sz="4" w:space="0" w:color="auto"/>
              <w:left w:val="single" w:sz="4" w:space="0" w:color="auto"/>
              <w:bottom w:val="single" w:sz="4" w:space="0" w:color="auto"/>
              <w:right w:val="single" w:sz="4" w:space="0" w:color="auto"/>
            </w:tcBorders>
          </w:tcPr>
          <w:p w14:paraId="415A2BF6"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Субъект назначения наблюдения (кого представляет)</w:t>
            </w:r>
          </w:p>
        </w:tc>
        <w:tc>
          <w:tcPr>
            <w:tcW w:w="1550" w:type="dxa"/>
            <w:tcBorders>
              <w:top w:val="single" w:sz="4" w:space="0" w:color="auto"/>
              <w:left w:val="single" w:sz="4" w:space="0" w:color="auto"/>
              <w:bottom w:val="single" w:sz="4" w:space="0" w:color="auto"/>
              <w:right w:val="single" w:sz="4" w:space="0" w:color="auto"/>
            </w:tcBorders>
          </w:tcPr>
          <w:p w14:paraId="3B55661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осуществления наблюдения</w:t>
            </w:r>
          </w:p>
        </w:tc>
      </w:tr>
      <w:tr w:rsidR="008145D3" w:rsidRPr="008145D3" w14:paraId="1032E47F" w14:textId="77777777" w:rsidTr="00B87C06">
        <w:tc>
          <w:tcPr>
            <w:tcW w:w="540" w:type="dxa"/>
            <w:tcBorders>
              <w:top w:val="single" w:sz="4" w:space="0" w:color="auto"/>
              <w:left w:val="single" w:sz="4" w:space="0" w:color="auto"/>
              <w:bottom w:val="single" w:sz="4" w:space="0" w:color="auto"/>
              <w:right w:val="single" w:sz="4" w:space="0" w:color="auto"/>
            </w:tcBorders>
          </w:tcPr>
          <w:p w14:paraId="19550E4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1</w:t>
            </w:r>
          </w:p>
        </w:tc>
        <w:tc>
          <w:tcPr>
            <w:tcW w:w="1545" w:type="dxa"/>
            <w:tcBorders>
              <w:top w:val="single" w:sz="4" w:space="0" w:color="auto"/>
              <w:left w:val="single" w:sz="4" w:space="0" w:color="auto"/>
              <w:bottom w:val="single" w:sz="4" w:space="0" w:color="auto"/>
              <w:right w:val="single" w:sz="4" w:space="0" w:color="auto"/>
            </w:tcBorders>
          </w:tcPr>
          <w:p w14:paraId="6F12BD9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2</w:t>
            </w:r>
          </w:p>
        </w:tc>
        <w:tc>
          <w:tcPr>
            <w:tcW w:w="975" w:type="dxa"/>
            <w:tcBorders>
              <w:top w:val="single" w:sz="4" w:space="0" w:color="auto"/>
              <w:left w:val="single" w:sz="4" w:space="0" w:color="auto"/>
              <w:bottom w:val="single" w:sz="4" w:space="0" w:color="auto"/>
              <w:right w:val="single" w:sz="4" w:space="0" w:color="auto"/>
            </w:tcBorders>
          </w:tcPr>
          <w:p w14:paraId="3D015D32"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3</w:t>
            </w:r>
          </w:p>
        </w:tc>
        <w:tc>
          <w:tcPr>
            <w:tcW w:w="1800" w:type="dxa"/>
            <w:tcBorders>
              <w:top w:val="single" w:sz="4" w:space="0" w:color="auto"/>
              <w:left w:val="single" w:sz="4" w:space="0" w:color="auto"/>
              <w:bottom w:val="single" w:sz="4" w:space="0" w:color="auto"/>
              <w:right w:val="single" w:sz="4" w:space="0" w:color="auto"/>
            </w:tcBorders>
          </w:tcPr>
          <w:p w14:paraId="7861184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4</w:t>
            </w:r>
          </w:p>
        </w:tc>
        <w:tc>
          <w:tcPr>
            <w:tcW w:w="1425" w:type="dxa"/>
            <w:tcBorders>
              <w:top w:val="single" w:sz="4" w:space="0" w:color="auto"/>
              <w:left w:val="single" w:sz="4" w:space="0" w:color="auto"/>
              <w:bottom w:val="single" w:sz="4" w:space="0" w:color="auto"/>
              <w:right w:val="single" w:sz="4" w:space="0" w:color="auto"/>
            </w:tcBorders>
          </w:tcPr>
          <w:p w14:paraId="3FEE840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5</w:t>
            </w:r>
          </w:p>
        </w:tc>
        <w:tc>
          <w:tcPr>
            <w:tcW w:w="1725" w:type="dxa"/>
            <w:tcBorders>
              <w:top w:val="single" w:sz="4" w:space="0" w:color="auto"/>
              <w:left w:val="single" w:sz="4" w:space="0" w:color="auto"/>
              <w:bottom w:val="single" w:sz="4" w:space="0" w:color="auto"/>
              <w:right w:val="single" w:sz="4" w:space="0" w:color="auto"/>
            </w:tcBorders>
          </w:tcPr>
          <w:p w14:paraId="3C4C387E"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6</w:t>
            </w:r>
          </w:p>
        </w:tc>
        <w:tc>
          <w:tcPr>
            <w:tcW w:w="1550" w:type="dxa"/>
            <w:tcBorders>
              <w:top w:val="single" w:sz="4" w:space="0" w:color="auto"/>
              <w:left w:val="single" w:sz="4" w:space="0" w:color="auto"/>
              <w:bottom w:val="single" w:sz="4" w:space="0" w:color="auto"/>
              <w:right w:val="single" w:sz="4" w:space="0" w:color="auto"/>
            </w:tcBorders>
          </w:tcPr>
          <w:p w14:paraId="532010D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7</w:t>
            </w:r>
          </w:p>
        </w:tc>
      </w:tr>
      <w:tr w:rsidR="008145D3" w:rsidRPr="008145D3" w14:paraId="242792BF" w14:textId="77777777" w:rsidTr="00B87C06">
        <w:tc>
          <w:tcPr>
            <w:tcW w:w="540" w:type="dxa"/>
            <w:tcBorders>
              <w:top w:val="single" w:sz="4" w:space="0" w:color="auto"/>
              <w:left w:val="single" w:sz="4" w:space="0" w:color="auto"/>
              <w:bottom w:val="single" w:sz="4" w:space="0" w:color="auto"/>
              <w:right w:val="single" w:sz="4" w:space="0" w:color="auto"/>
            </w:tcBorders>
            <w:vAlign w:val="center"/>
          </w:tcPr>
          <w:p w14:paraId="0B748E31"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545" w:type="dxa"/>
            <w:tcBorders>
              <w:top w:val="single" w:sz="4" w:space="0" w:color="auto"/>
              <w:left w:val="single" w:sz="4" w:space="0" w:color="auto"/>
              <w:bottom w:val="single" w:sz="4" w:space="0" w:color="auto"/>
              <w:right w:val="single" w:sz="4" w:space="0" w:color="auto"/>
            </w:tcBorders>
            <w:vAlign w:val="center"/>
          </w:tcPr>
          <w:p w14:paraId="117FAE2B"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975" w:type="dxa"/>
            <w:tcBorders>
              <w:top w:val="single" w:sz="4" w:space="0" w:color="auto"/>
              <w:left w:val="single" w:sz="4" w:space="0" w:color="auto"/>
              <w:bottom w:val="single" w:sz="4" w:space="0" w:color="auto"/>
              <w:right w:val="single" w:sz="4" w:space="0" w:color="auto"/>
            </w:tcBorders>
            <w:vAlign w:val="center"/>
          </w:tcPr>
          <w:p w14:paraId="6A495C38"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800" w:type="dxa"/>
            <w:tcBorders>
              <w:top w:val="single" w:sz="4" w:space="0" w:color="auto"/>
              <w:left w:val="single" w:sz="4" w:space="0" w:color="auto"/>
              <w:bottom w:val="single" w:sz="4" w:space="0" w:color="auto"/>
              <w:right w:val="single" w:sz="4" w:space="0" w:color="auto"/>
            </w:tcBorders>
            <w:vAlign w:val="center"/>
          </w:tcPr>
          <w:p w14:paraId="1B63BDD1"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425" w:type="dxa"/>
            <w:tcBorders>
              <w:top w:val="single" w:sz="4" w:space="0" w:color="auto"/>
              <w:left w:val="single" w:sz="4" w:space="0" w:color="auto"/>
              <w:bottom w:val="single" w:sz="4" w:space="0" w:color="auto"/>
              <w:right w:val="single" w:sz="4" w:space="0" w:color="auto"/>
            </w:tcBorders>
            <w:vAlign w:val="center"/>
          </w:tcPr>
          <w:p w14:paraId="5C75BCDC"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725" w:type="dxa"/>
            <w:tcBorders>
              <w:top w:val="single" w:sz="4" w:space="0" w:color="auto"/>
              <w:left w:val="single" w:sz="4" w:space="0" w:color="auto"/>
              <w:bottom w:val="single" w:sz="4" w:space="0" w:color="auto"/>
              <w:right w:val="single" w:sz="4" w:space="0" w:color="auto"/>
            </w:tcBorders>
          </w:tcPr>
          <w:p w14:paraId="2BDB3E22"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550" w:type="dxa"/>
            <w:tcBorders>
              <w:top w:val="single" w:sz="4" w:space="0" w:color="auto"/>
              <w:left w:val="single" w:sz="4" w:space="0" w:color="auto"/>
              <w:bottom w:val="single" w:sz="4" w:space="0" w:color="auto"/>
              <w:right w:val="single" w:sz="4" w:space="0" w:color="auto"/>
            </w:tcBorders>
          </w:tcPr>
          <w:p w14:paraId="14EB5BA5"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r>
    </w:tbl>
    <w:p w14:paraId="1D358002"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3515"/>
        <w:gridCol w:w="340"/>
        <w:gridCol w:w="1928"/>
        <w:gridCol w:w="340"/>
        <w:gridCol w:w="3437"/>
      </w:tblGrid>
      <w:tr w:rsidR="008145D3" w:rsidRPr="008145D3" w14:paraId="0E30CBA0" w14:textId="77777777" w:rsidTr="00B87C06">
        <w:tc>
          <w:tcPr>
            <w:tcW w:w="3515" w:type="dxa"/>
            <w:tcBorders>
              <w:bottom w:val="single" w:sz="4" w:space="0" w:color="auto"/>
            </w:tcBorders>
            <w:vAlign w:val="bottom"/>
          </w:tcPr>
          <w:p w14:paraId="287C7F4E"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Председатель территориальной избирательной комиссии</w:t>
            </w:r>
          </w:p>
          <w:p w14:paraId="4B2C9E1D"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0" w:type="dxa"/>
          </w:tcPr>
          <w:p w14:paraId="09BAA305"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28" w:type="dxa"/>
            <w:tcBorders>
              <w:bottom w:val="single" w:sz="4" w:space="0" w:color="auto"/>
            </w:tcBorders>
          </w:tcPr>
          <w:p w14:paraId="580C9A2E"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14:paraId="7683CCB8"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3437" w:type="dxa"/>
            <w:tcBorders>
              <w:bottom w:val="single" w:sz="4" w:space="0" w:color="auto"/>
            </w:tcBorders>
          </w:tcPr>
          <w:p w14:paraId="3951B245"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r>
      <w:tr w:rsidR="008145D3" w:rsidRPr="008145D3" w14:paraId="65B0976A" w14:textId="77777777" w:rsidTr="00B87C06">
        <w:tc>
          <w:tcPr>
            <w:tcW w:w="3515" w:type="dxa"/>
            <w:tcBorders>
              <w:top w:val="single" w:sz="4" w:space="0" w:color="auto"/>
            </w:tcBorders>
          </w:tcPr>
          <w:p w14:paraId="01006257"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340" w:type="dxa"/>
          </w:tcPr>
          <w:p w14:paraId="06C95357"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928" w:type="dxa"/>
            <w:tcBorders>
              <w:top w:val="single" w:sz="4" w:space="0" w:color="auto"/>
            </w:tcBorders>
          </w:tcPr>
          <w:p w14:paraId="748ED8C4"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подпись)</w:t>
            </w:r>
          </w:p>
        </w:tc>
        <w:tc>
          <w:tcPr>
            <w:tcW w:w="340" w:type="dxa"/>
          </w:tcPr>
          <w:p w14:paraId="271ECA55"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3437" w:type="dxa"/>
            <w:tcBorders>
              <w:top w:val="single" w:sz="4" w:space="0" w:color="auto"/>
            </w:tcBorders>
          </w:tcPr>
          <w:p w14:paraId="6344E922"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(инициалы, фамилия)</w:t>
            </w:r>
          </w:p>
        </w:tc>
      </w:tr>
      <w:tr w:rsidR="008145D3" w:rsidRPr="008145D3" w14:paraId="1E9CDC7F" w14:textId="77777777" w:rsidTr="00B87C06">
        <w:tc>
          <w:tcPr>
            <w:tcW w:w="3515" w:type="dxa"/>
          </w:tcPr>
          <w:p w14:paraId="42ADA416"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МП</w:t>
            </w:r>
          </w:p>
        </w:tc>
        <w:tc>
          <w:tcPr>
            <w:tcW w:w="340" w:type="dxa"/>
          </w:tcPr>
          <w:p w14:paraId="1A7CAD05"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928" w:type="dxa"/>
          </w:tcPr>
          <w:p w14:paraId="3C06682B"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340" w:type="dxa"/>
          </w:tcPr>
          <w:p w14:paraId="5CD6FACF"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3437" w:type="dxa"/>
          </w:tcPr>
          <w:p w14:paraId="3E60B216"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r>
    </w:tbl>
    <w:p w14:paraId="02C3BA33" w14:textId="77777777" w:rsidR="008145D3" w:rsidRPr="008145D3" w:rsidRDefault="008145D3" w:rsidP="008145D3">
      <w:pPr>
        <w:autoSpaceDE w:val="0"/>
        <w:autoSpaceDN w:val="0"/>
        <w:adjustRightInd w:val="0"/>
        <w:spacing w:before="280" w:after="0" w:line="240" w:lineRule="auto"/>
        <w:ind w:firstLine="540"/>
        <w:jc w:val="both"/>
        <w:rPr>
          <w:rFonts w:ascii="Times New Roman" w:eastAsia="Times New Roman" w:hAnsi="Times New Roman" w:cs="Times New Roman"/>
          <w:sz w:val="20"/>
          <w:szCs w:val="24"/>
          <w:lang w:eastAsia="ru-RU"/>
        </w:rPr>
      </w:pPr>
      <w:bookmarkStart w:id="3" w:name="Par115"/>
      <w:bookmarkEnd w:id="3"/>
      <w:r w:rsidRPr="008145D3">
        <w:rPr>
          <w:rFonts w:ascii="Times New Roman" w:eastAsia="Times New Roman" w:hAnsi="Times New Roman" w:cs="Times New Roman"/>
          <w:sz w:val="20"/>
          <w:szCs w:val="24"/>
          <w:lang w:eastAsia="ru-RU"/>
        </w:rPr>
        <w:t>&lt;*&gt; Контактный телефон указывается при наличии</w:t>
      </w:r>
    </w:p>
    <w:p w14:paraId="29CAE3A3"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p w14:paraId="678BA507"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p w14:paraId="7346F2F4" w14:textId="77777777" w:rsidR="008145D3" w:rsidRPr="008145D3" w:rsidRDefault="008145D3" w:rsidP="008145D3">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03E36CAF" w14:textId="77777777" w:rsidR="008145D3" w:rsidRPr="008145D3" w:rsidRDefault="008145D3" w:rsidP="008145D3">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46CD3ABC" w14:textId="77777777" w:rsidR="008145D3" w:rsidRPr="008145D3" w:rsidRDefault="008145D3" w:rsidP="008145D3">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4A530AE0" w14:textId="77777777" w:rsidR="008145D3" w:rsidRPr="008145D3" w:rsidRDefault="008145D3" w:rsidP="008145D3">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6ED4FF46" w14:textId="77777777" w:rsidR="008145D3" w:rsidRPr="008145D3" w:rsidRDefault="008145D3" w:rsidP="008145D3">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br w:type="page"/>
      </w:r>
      <w:r w:rsidRPr="008145D3">
        <w:rPr>
          <w:rFonts w:ascii="Times New Roman" w:eastAsia="Times New Roman" w:hAnsi="Times New Roman" w:cs="Times New Roman"/>
          <w:sz w:val="24"/>
          <w:szCs w:val="24"/>
          <w:lang w:eastAsia="ru-RU"/>
        </w:rPr>
        <w:lastRenderedPageBreak/>
        <w:t>Приложение № 2</w:t>
      </w:r>
    </w:p>
    <w:p w14:paraId="7C5220B4"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Утверждена</w:t>
      </w:r>
    </w:p>
    <w:p w14:paraId="75BD9864"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решением территориальной избирательной комиссии</w:t>
      </w:r>
    </w:p>
    <w:p w14:paraId="058C300A"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Ильинского городского округа</w:t>
      </w:r>
    </w:p>
    <w:p w14:paraId="6E1B9EE9"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от 24.07.2024 № 47/04-5</w:t>
      </w:r>
    </w:p>
    <w:p w14:paraId="34AC4216"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0"/>
          <w:szCs w:val="24"/>
          <w:lang w:eastAsia="ru-RU"/>
        </w:rPr>
      </w:pPr>
    </w:p>
    <w:p w14:paraId="4F702021"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(обязательная форма на бумажном носителе)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8145D3" w:rsidRPr="008145D3" w14:paraId="41FC8392" w14:textId="77777777" w:rsidTr="00B87C06">
        <w:tc>
          <w:tcPr>
            <w:tcW w:w="9062" w:type="dxa"/>
            <w:tcBorders>
              <w:bottom w:val="single" w:sz="4" w:space="0" w:color="auto"/>
            </w:tcBorders>
          </w:tcPr>
          <w:p w14:paraId="1B8D7F89"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E6273AD"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Территориальная избирательная комиссия Ильинского городского округа</w:t>
            </w:r>
          </w:p>
        </w:tc>
      </w:tr>
      <w:tr w:rsidR="008145D3" w:rsidRPr="008145D3" w14:paraId="18E8E4D3" w14:textId="77777777" w:rsidTr="00B87C06">
        <w:tc>
          <w:tcPr>
            <w:tcW w:w="9062" w:type="dxa"/>
            <w:tcBorders>
              <w:top w:val="single" w:sz="4" w:space="0" w:color="auto"/>
            </w:tcBorders>
          </w:tcPr>
          <w:p w14:paraId="0F505C12"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145D3" w:rsidRPr="008145D3" w14:paraId="2BB43893" w14:textId="77777777" w:rsidTr="00B87C06">
        <w:tc>
          <w:tcPr>
            <w:tcW w:w="9062" w:type="dxa"/>
          </w:tcPr>
          <w:p w14:paraId="399F34A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Выборы депутатов Думы Ильинского городского округа второго созыва</w:t>
            </w:r>
          </w:p>
        </w:tc>
      </w:tr>
      <w:tr w:rsidR="008145D3" w:rsidRPr="008145D3" w14:paraId="451A8995" w14:textId="77777777" w:rsidTr="00B87C06">
        <w:tc>
          <w:tcPr>
            <w:tcW w:w="9062" w:type="dxa"/>
            <w:tcBorders>
              <w:bottom w:val="single" w:sz="4" w:space="0" w:color="auto"/>
            </w:tcBorders>
          </w:tcPr>
          <w:p w14:paraId="3BEB1893"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5D3" w:rsidRPr="008145D3" w14:paraId="3E9F3168" w14:textId="77777777" w:rsidTr="00B87C06">
        <w:tc>
          <w:tcPr>
            <w:tcW w:w="9062" w:type="dxa"/>
            <w:tcBorders>
              <w:top w:val="single" w:sz="4" w:space="0" w:color="auto"/>
            </w:tcBorders>
          </w:tcPr>
          <w:p w14:paraId="261CEC3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(номер одномандатного (многомандатного) избирательного округа)</w:t>
            </w:r>
          </w:p>
        </w:tc>
      </w:tr>
      <w:tr w:rsidR="008145D3" w:rsidRPr="008145D3" w14:paraId="2A2CBC1C" w14:textId="77777777" w:rsidTr="00B87C06">
        <w:trPr>
          <w:trHeight w:val="904"/>
        </w:trPr>
        <w:tc>
          <w:tcPr>
            <w:tcW w:w="9062" w:type="dxa"/>
          </w:tcPr>
          <w:p w14:paraId="7C372F6E"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СПИСОК НАБЛЮДАТЕЛЕЙ,</w:t>
            </w:r>
          </w:p>
          <w:p w14:paraId="6C238831"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8"/>
                <w:szCs w:val="28"/>
                <w:lang w:eastAsia="ru-RU"/>
              </w:rPr>
              <w:t xml:space="preserve">назначенных зарегистрированным кандидатом/избирательным объединением/субъектом общественного контроля </w:t>
            </w:r>
            <w:hyperlink w:anchor="Par174" w:history="1">
              <w:r w:rsidRPr="008145D3">
                <w:rPr>
                  <w:rFonts w:ascii="Times New Roman" w:eastAsia="Times New Roman" w:hAnsi="Times New Roman" w:cs="Times New Roman"/>
                  <w:sz w:val="28"/>
                  <w:szCs w:val="28"/>
                  <w:lang w:eastAsia="ru-RU"/>
                </w:rPr>
                <w:t>&lt;*&gt;</w:t>
              </w:r>
            </w:hyperlink>
          </w:p>
        </w:tc>
      </w:tr>
      <w:tr w:rsidR="008145D3" w:rsidRPr="008145D3" w14:paraId="5C2C6837" w14:textId="77777777" w:rsidTr="00B87C06">
        <w:tc>
          <w:tcPr>
            <w:tcW w:w="9062" w:type="dxa"/>
            <w:tcBorders>
              <w:bottom w:val="single" w:sz="4" w:space="0" w:color="auto"/>
            </w:tcBorders>
          </w:tcPr>
          <w:p w14:paraId="11393ED7"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r>
      <w:tr w:rsidR="008145D3" w:rsidRPr="008145D3" w14:paraId="535E0787" w14:textId="77777777" w:rsidTr="00B87C06">
        <w:tc>
          <w:tcPr>
            <w:tcW w:w="9062" w:type="dxa"/>
            <w:tcBorders>
              <w:top w:val="single" w:sz="4" w:space="0" w:color="auto"/>
            </w:tcBorders>
          </w:tcPr>
          <w:p w14:paraId="2EA6E2F8"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(фамилия, имя, отчество кандидата/наименование избирательного объединения/наименование субъекта общественного контроля)</w:t>
            </w:r>
          </w:p>
        </w:tc>
      </w:tr>
    </w:tbl>
    <w:p w14:paraId="5953B22A"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tbl>
      <w:tblPr>
        <w:tblW w:w="10065" w:type="dxa"/>
        <w:tblInd w:w="-222" w:type="dxa"/>
        <w:tblLayout w:type="fixed"/>
        <w:tblCellMar>
          <w:top w:w="102" w:type="dxa"/>
          <w:left w:w="62" w:type="dxa"/>
          <w:bottom w:w="102" w:type="dxa"/>
          <w:right w:w="62" w:type="dxa"/>
        </w:tblCellMar>
        <w:tblLook w:val="0000" w:firstRow="0" w:lastRow="0" w:firstColumn="0" w:lastColumn="0" w:noHBand="0" w:noVBand="0"/>
      </w:tblPr>
      <w:tblGrid>
        <w:gridCol w:w="600"/>
        <w:gridCol w:w="217"/>
        <w:gridCol w:w="1027"/>
        <w:gridCol w:w="976"/>
        <w:gridCol w:w="1046"/>
        <w:gridCol w:w="529"/>
        <w:gridCol w:w="2268"/>
        <w:gridCol w:w="1843"/>
        <w:gridCol w:w="828"/>
        <w:gridCol w:w="731"/>
      </w:tblGrid>
      <w:tr w:rsidR="008145D3" w:rsidRPr="008145D3" w14:paraId="1F120AE1" w14:textId="77777777" w:rsidTr="00B87C06">
        <w:tc>
          <w:tcPr>
            <w:tcW w:w="600" w:type="dxa"/>
            <w:tcBorders>
              <w:top w:val="single" w:sz="4" w:space="0" w:color="auto"/>
              <w:left w:val="single" w:sz="4" w:space="0" w:color="auto"/>
              <w:bottom w:val="single" w:sz="4" w:space="0" w:color="auto"/>
              <w:right w:val="single" w:sz="4" w:space="0" w:color="auto"/>
            </w:tcBorders>
          </w:tcPr>
          <w:p w14:paraId="7AE6D33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N п/п</w:t>
            </w:r>
          </w:p>
        </w:tc>
        <w:tc>
          <w:tcPr>
            <w:tcW w:w="1244" w:type="dxa"/>
            <w:gridSpan w:val="2"/>
            <w:tcBorders>
              <w:top w:val="single" w:sz="4" w:space="0" w:color="auto"/>
              <w:left w:val="single" w:sz="4" w:space="0" w:color="auto"/>
              <w:bottom w:val="single" w:sz="4" w:space="0" w:color="auto"/>
              <w:right w:val="single" w:sz="4" w:space="0" w:color="auto"/>
            </w:tcBorders>
          </w:tcPr>
          <w:p w14:paraId="0441DCA5"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Фамилия, имя, отчество</w:t>
            </w:r>
          </w:p>
        </w:tc>
        <w:tc>
          <w:tcPr>
            <w:tcW w:w="976" w:type="dxa"/>
            <w:tcBorders>
              <w:top w:val="single" w:sz="4" w:space="0" w:color="auto"/>
              <w:left w:val="single" w:sz="4" w:space="0" w:color="auto"/>
              <w:bottom w:val="single" w:sz="4" w:space="0" w:color="auto"/>
              <w:right w:val="single" w:sz="4" w:space="0" w:color="auto"/>
            </w:tcBorders>
          </w:tcPr>
          <w:p w14:paraId="6DBA5C90"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рождения</w:t>
            </w:r>
          </w:p>
        </w:tc>
        <w:tc>
          <w:tcPr>
            <w:tcW w:w="1575" w:type="dxa"/>
            <w:gridSpan w:val="2"/>
            <w:tcBorders>
              <w:top w:val="single" w:sz="4" w:space="0" w:color="auto"/>
              <w:left w:val="single" w:sz="4" w:space="0" w:color="auto"/>
              <w:bottom w:val="single" w:sz="4" w:space="0" w:color="auto"/>
              <w:right w:val="single" w:sz="4" w:space="0" w:color="auto"/>
            </w:tcBorders>
          </w:tcPr>
          <w:p w14:paraId="217DEA1D"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Серия, номер и дата выдачи паспорта или документа, заменяющего паспорт гражданина</w:t>
            </w:r>
          </w:p>
        </w:tc>
        <w:tc>
          <w:tcPr>
            <w:tcW w:w="2268" w:type="dxa"/>
            <w:tcBorders>
              <w:top w:val="single" w:sz="4" w:space="0" w:color="auto"/>
              <w:left w:val="single" w:sz="4" w:space="0" w:color="auto"/>
              <w:bottom w:val="single" w:sz="4" w:space="0" w:color="auto"/>
              <w:right w:val="single" w:sz="4" w:space="0" w:color="auto"/>
            </w:tcBorders>
          </w:tcPr>
          <w:p w14:paraId="768B204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 xml:space="preserve">Адрес места жительства, контактный телефон </w:t>
            </w:r>
            <w:hyperlink w:anchor="Par175" w:history="1">
              <w:r w:rsidRPr="008145D3">
                <w:rPr>
                  <w:rFonts w:ascii="Times New Roman" w:eastAsia="Times New Roman" w:hAnsi="Times New Roman" w:cs="Times New Roman"/>
                  <w:sz w:val="20"/>
                  <w:szCs w:val="24"/>
                  <w:lang w:eastAsia="ru-RU"/>
                </w:rPr>
                <w:t>&lt;**&gt;</w:t>
              </w:r>
            </w:hyperlink>
          </w:p>
        </w:tc>
        <w:tc>
          <w:tcPr>
            <w:tcW w:w="1843" w:type="dxa"/>
            <w:tcBorders>
              <w:top w:val="single" w:sz="4" w:space="0" w:color="auto"/>
              <w:left w:val="single" w:sz="4" w:space="0" w:color="auto"/>
              <w:bottom w:val="single" w:sz="4" w:space="0" w:color="auto"/>
              <w:right w:val="single" w:sz="4" w:space="0" w:color="auto"/>
            </w:tcBorders>
          </w:tcPr>
          <w:p w14:paraId="5262BB35"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Номер избирательного участка (для назначенных в участковую избирательную комиссию)</w:t>
            </w:r>
          </w:p>
        </w:tc>
        <w:tc>
          <w:tcPr>
            <w:tcW w:w="1559" w:type="dxa"/>
            <w:gridSpan w:val="2"/>
            <w:tcBorders>
              <w:top w:val="single" w:sz="4" w:space="0" w:color="auto"/>
              <w:left w:val="single" w:sz="4" w:space="0" w:color="auto"/>
              <w:bottom w:val="single" w:sz="4" w:space="0" w:color="auto"/>
              <w:right w:val="single" w:sz="4" w:space="0" w:color="auto"/>
            </w:tcBorders>
          </w:tcPr>
          <w:p w14:paraId="30B4B1B4"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осуществления наблюдения</w:t>
            </w:r>
          </w:p>
        </w:tc>
      </w:tr>
      <w:tr w:rsidR="008145D3" w:rsidRPr="008145D3" w14:paraId="7DB9FD25" w14:textId="77777777" w:rsidTr="00B87C06">
        <w:tc>
          <w:tcPr>
            <w:tcW w:w="600" w:type="dxa"/>
            <w:tcBorders>
              <w:top w:val="single" w:sz="4" w:space="0" w:color="auto"/>
              <w:left w:val="single" w:sz="4" w:space="0" w:color="auto"/>
              <w:bottom w:val="single" w:sz="4" w:space="0" w:color="auto"/>
              <w:right w:val="single" w:sz="4" w:space="0" w:color="auto"/>
            </w:tcBorders>
          </w:tcPr>
          <w:p w14:paraId="12380DF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1</w:t>
            </w:r>
          </w:p>
        </w:tc>
        <w:tc>
          <w:tcPr>
            <w:tcW w:w="1244" w:type="dxa"/>
            <w:gridSpan w:val="2"/>
            <w:tcBorders>
              <w:top w:val="single" w:sz="4" w:space="0" w:color="auto"/>
              <w:left w:val="single" w:sz="4" w:space="0" w:color="auto"/>
              <w:bottom w:val="single" w:sz="4" w:space="0" w:color="auto"/>
              <w:right w:val="single" w:sz="4" w:space="0" w:color="auto"/>
            </w:tcBorders>
          </w:tcPr>
          <w:p w14:paraId="0B7C875D"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2</w:t>
            </w:r>
          </w:p>
        </w:tc>
        <w:tc>
          <w:tcPr>
            <w:tcW w:w="976" w:type="dxa"/>
            <w:tcBorders>
              <w:top w:val="single" w:sz="4" w:space="0" w:color="auto"/>
              <w:left w:val="single" w:sz="4" w:space="0" w:color="auto"/>
              <w:bottom w:val="single" w:sz="4" w:space="0" w:color="auto"/>
              <w:right w:val="single" w:sz="4" w:space="0" w:color="auto"/>
            </w:tcBorders>
          </w:tcPr>
          <w:p w14:paraId="4361AAF7"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3</w:t>
            </w:r>
          </w:p>
        </w:tc>
        <w:tc>
          <w:tcPr>
            <w:tcW w:w="1575" w:type="dxa"/>
            <w:gridSpan w:val="2"/>
            <w:tcBorders>
              <w:top w:val="single" w:sz="4" w:space="0" w:color="auto"/>
              <w:left w:val="single" w:sz="4" w:space="0" w:color="auto"/>
              <w:bottom w:val="single" w:sz="4" w:space="0" w:color="auto"/>
              <w:right w:val="single" w:sz="4" w:space="0" w:color="auto"/>
            </w:tcBorders>
          </w:tcPr>
          <w:p w14:paraId="14E897B4"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4</w:t>
            </w:r>
          </w:p>
        </w:tc>
        <w:tc>
          <w:tcPr>
            <w:tcW w:w="2268" w:type="dxa"/>
            <w:tcBorders>
              <w:top w:val="single" w:sz="4" w:space="0" w:color="auto"/>
              <w:left w:val="single" w:sz="4" w:space="0" w:color="auto"/>
              <w:bottom w:val="single" w:sz="4" w:space="0" w:color="auto"/>
              <w:right w:val="single" w:sz="4" w:space="0" w:color="auto"/>
            </w:tcBorders>
          </w:tcPr>
          <w:p w14:paraId="3A10A34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5</w:t>
            </w:r>
          </w:p>
        </w:tc>
        <w:tc>
          <w:tcPr>
            <w:tcW w:w="1843" w:type="dxa"/>
            <w:tcBorders>
              <w:top w:val="single" w:sz="4" w:space="0" w:color="auto"/>
              <w:left w:val="single" w:sz="4" w:space="0" w:color="auto"/>
              <w:bottom w:val="single" w:sz="4" w:space="0" w:color="auto"/>
              <w:right w:val="single" w:sz="4" w:space="0" w:color="auto"/>
            </w:tcBorders>
          </w:tcPr>
          <w:p w14:paraId="2B5531FD"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6</w:t>
            </w:r>
          </w:p>
        </w:tc>
        <w:tc>
          <w:tcPr>
            <w:tcW w:w="1559" w:type="dxa"/>
            <w:gridSpan w:val="2"/>
            <w:tcBorders>
              <w:top w:val="single" w:sz="4" w:space="0" w:color="auto"/>
              <w:left w:val="single" w:sz="4" w:space="0" w:color="auto"/>
              <w:bottom w:val="single" w:sz="4" w:space="0" w:color="auto"/>
              <w:right w:val="single" w:sz="4" w:space="0" w:color="auto"/>
            </w:tcBorders>
          </w:tcPr>
          <w:p w14:paraId="7E6B8428"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7</w:t>
            </w:r>
          </w:p>
        </w:tc>
      </w:tr>
      <w:tr w:rsidR="008145D3" w:rsidRPr="008145D3" w14:paraId="419A6F14" w14:textId="77777777" w:rsidTr="00B87C06">
        <w:tc>
          <w:tcPr>
            <w:tcW w:w="600" w:type="dxa"/>
            <w:tcBorders>
              <w:top w:val="single" w:sz="4" w:space="0" w:color="auto"/>
              <w:left w:val="single" w:sz="4" w:space="0" w:color="auto"/>
              <w:bottom w:val="single" w:sz="4" w:space="0" w:color="auto"/>
              <w:right w:val="single" w:sz="4" w:space="0" w:color="auto"/>
            </w:tcBorders>
            <w:vAlign w:val="center"/>
          </w:tcPr>
          <w:p w14:paraId="63317624"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244" w:type="dxa"/>
            <w:gridSpan w:val="2"/>
            <w:tcBorders>
              <w:top w:val="single" w:sz="4" w:space="0" w:color="auto"/>
              <w:left w:val="single" w:sz="4" w:space="0" w:color="auto"/>
              <w:bottom w:val="single" w:sz="4" w:space="0" w:color="auto"/>
              <w:right w:val="single" w:sz="4" w:space="0" w:color="auto"/>
            </w:tcBorders>
            <w:vAlign w:val="center"/>
          </w:tcPr>
          <w:p w14:paraId="7B8E2D19"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976" w:type="dxa"/>
            <w:tcBorders>
              <w:top w:val="single" w:sz="4" w:space="0" w:color="auto"/>
              <w:left w:val="single" w:sz="4" w:space="0" w:color="auto"/>
              <w:bottom w:val="single" w:sz="4" w:space="0" w:color="auto"/>
              <w:right w:val="single" w:sz="4" w:space="0" w:color="auto"/>
            </w:tcBorders>
            <w:vAlign w:val="center"/>
          </w:tcPr>
          <w:p w14:paraId="1865191C"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575" w:type="dxa"/>
            <w:gridSpan w:val="2"/>
            <w:tcBorders>
              <w:top w:val="single" w:sz="4" w:space="0" w:color="auto"/>
              <w:left w:val="single" w:sz="4" w:space="0" w:color="auto"/>
              <w:bottom w:val="single" w:sz="4" w:space="0" w:color="auto"/>
              <w:right w:val="single" w:sz="4" w:space="0" w:color="auto"/>
            </w:tcBorders>
            <w:vAlign w:val="center"/>
          </w:tcPr>
          <w:p w14:paraId="798118EA"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14:paraId="68A5CFBA"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3C1F0330"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0CCA2281"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0"/>
                <w:szCs w:val="24"/>
                <w:lang w:eastAsia="ru-RU"/>
              </w:rPr>
            </w:pPr>
          </w:p>
        </w:tc>
      </w:tr>
      <w:tr w:rsidR="008145D3" w:rsidRPr="008145D3" w14:paraId="0D6761C6" w14:textId="77777777" w:rsidTr="00B87C06">
        <w:trPr>
          <w:gridBefore w:val="2"/>
          <w:gridAfter w:val="1"/>
          <w:wBefore w:w="817" w:type="dxa"/>
          <w:wAfter w:w="731" w:type="dxa"/>
        </w:trPr>
        <w:tc>
          <w:tcPr>
            <w:tcW w:w="8517" w:type="dxa"/>
            <w:gridSpan w:val="7"/>
          </w:tcPr>
          <w:p w14:paraId="5CA41F4A" w14:textId="77777777" w:rsidR="008145D3" w:rsidRPr="008145D3" w:rsidRDefault="008145D3" w:rsidP="008145D3">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1F514F99" w14:textId="77777777" w:rsidR="008145D3" w:rsidRPr="008145D3" w:rsidRDefault="008145D3" w:rsidP="008145D3">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 xml:space="preserve">Подтверждаю, что наблюдатели, указанные в списке, не подпадают под ограничения, установленные </w:t>
            </w:r>
            <w:hyperlink r:id="rId13" w:history="1">
              <w:r w:rsidRPr="008145D3">
                <w:rPr>
                  <w:rFonts w:ascii="Times New Roman" w:eastAsia="Times New Roman" w:hAnsi="Times New Roman" w:cs="Times New Roman"/>
                  <w:sz w:val="24"/>
                  <w:szCs w:val="24"/>
                  <w:lang w:eastAsia="ru-RU"/>
                </w:rPr>
                <w:t xml:space="preserve">частью 4 статьи </w:t>
              </w:r>
            </w:hyperlink>
            <w:r w:rsidRPr="008145D3">
              <w:rPr>
                <w:rFonts w:ascii="Times New Roman" w:eastAsia="Times New Roman" w:hAnsi="Times New Roman" w:cs="Times New Roman"/>
                <w:sz w:val="24"/>
                <w:szCs w:val="24"/>
                <w:lang w:eastAsia="ru-RU"/>
              </w:rPr>
              <w:t>23 Закона № 525-ПК.</w:t>
            </w:r>
          </w:p>
        </w:tc>
      </w:tr>
      <w:tr w:rsidR="008145D3" w:rsidRPr="008145D3" w14:paraId="2AC7ED00" w14:textId="77777777" w:rsidTr="00B87C06">
        <w:trPr>
          <w:gridBefore w:val="2"/>
          <w:gridAfter w:val="1"/>
          <w:wBefore w:w="817" w:type="dxa"/>
          <w:wAfter w:w="731" w:type="dxa"/>
        </w:trPr>
        <w:tc>
          <w:tcPr>
            <w:tcW w:w="3049" w:type="dxa"/>
            <w:gridSpan w:val="3"/>
            <w:vAlign w:val="bottom"/>
          </w:tcPr>
          <w:p w14:paraId="521E9D74"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 xml:space="preserve">МП </w:t>
            </w:r>
            <w:hyperlink w:anchor="Par176" w:history="1">
              <w:r w:rsidRPr="008145D3">
                <w:rPr>
                  <w:rFonts w:ascii="Times New Roman" w:eastAsia="Times New Roman" w:hAnsi="Times New Roman" w:cs="Times New Roman"/>
                  <w:sz w:val="24"/>
                  <w:szCs w:val="24"/>
                  <w:lang w:eastAsia="ru-RU"/>
                </w:rPr>
                <w:t>&lt;***&gt;</w:t>
              </w:r>
            </w:hyperlink>
          </w:p>
        </w:tc>
        <w:tc>
          <w:tcPr>
            <w:tcW w:w="5468" w:type="dxa"/>
            <w:gridSpan w:val="4"/>
            <w:tcBorders>
              <w:bottom w:val="single" w:sz="4" w:space="0" w:color="auto"/>
            </w:tcBorders>
          </w:tcPr>
          <w:p w14:paraId="7B8B51A4"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r>
      <w:tr w:rsidR="008145D3" w:rsidRPr="008145D3" w14:paraId="791D33DD" w14:textId="77777777" w:rsidTr="00B87C06">
        <w:trPr>
          <w:gridBefore w:val="2"/>
          <w:gridAfter w:val="1"/>
          <w:wBefore w:w="817" w:type="dxa"/>
          <w:wAfter w:w="731" w:type="dxa"/>
        </w:trPr>
        <w:tc>
          <w:tcPr>
            <w:tcW w:w="3049" w:type="dxa"/>
            <w:gridSpan w:val="3"/>
          </w:tcPr>
          <w:p w14:paraId="52DBEC8B"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5468" w:type="dxa"/>
            <w:gridSpan w:val="4"/>
            <w:tcBorders>
              <w:top w:val="single" w:sz="4" w:space="0" w:color="auto"/>
            </w:tcBorders>
          </w:tcPr>
          <w:p w14:paraId="5A0E7EA4"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(подпись кандидата/уполномоченного лица субъекта общественного контроля, дата)</w:t>
            </w:r>
          </w:p>
        </w:tc>
      </w:tr>
    </w:tbl>
    <w:p w14:paraId="705BA0C4"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bookmarkStart w:id="4" w:name="Par174"/>
      <w:bookmarkEnd w:id="4"/>
      <w:r w:rsidRPr="008145D3">
        <w:rPr>
          <w:rFonts w:ascii="Times New Roman" w:eastAsia="Times New Roman" w:hAnsi="Times New Roman" w:cs="Times New Roman"/>
          <w:sz w:val="20"/>
          <w:szCs w:val="24"/>
          <w:lang w:eastAsia="ru-RU"/>
        </w:rPr>
        <w:t>&lt;*&gt; Список наблюдателей набирается шрифтом «</w:t>
      </w:r>
      <w:proofErr w:type="spellStart"/>
      <w:r w:rsidRPr="008145D3">
        <w:rPr>
          <w:rFonts w:ascii="Times New Roman" w:eastAsia="Times New Roman" w:hAnsi="Times New Roman" w:cs="Times New Roman"/>
          <w:sz w:val="20"/>
          <w:szCs w:val="24"/>
          <w:lang w:eastAsia="ru-RU"/>
        </w:rPr>
        <w:t>Times</w:t>
      </w:r>
      <w:proofErr w:type="spellEnd"/>
      <w:r w:rsidRPr="008145D3">
        <w:rPr>
          <w:rFonts w:ascii="Times New Roman" w:eastAsia="Times New Roman" w:hAnsi="Times New Roman" w:cs="Times New Roman"/>
          <w:sz w:val="20"/>
          <w:szCs w:val="24"/>
          <w:lang w:eastAsia="ru-RU"/>
        </w:rPr>
        <w:t xml:space="preserve"> </w:t>
      </w:r>
      <w:proofErr w:type="spellStart"/>
      <w:r w:rsidRPr="008145D3">
        <w:rPr>
          <w:rFonts w:ascii="Times New Roman" w:eastAsia="Times New Roman" w:hAnsi="Times New Roman" w:cs="Times New Roman"/>
          <w:sz w:val="20"/>
          <w:szCs w:val="24"/>
          <w:lang w:eastAsia="ru-RU"/>
        </w:rPr>
        <w:t>New</w:t>
      </w:r>
      <w:proofErr w:type="spellEnd"/>
      <w:r w:rsidRPr="008145D3">
        <w:rPr>
          <w:rFonts w:ascii="Times New Roman" w:eastAsia="Times New Roman" w:hAnsi="Times New Roman" w:cs="Times New Roman"/>
          <w:sz w:val="20"/>
          <w:szCs w:val="24"/>
          <w:lang w:eastAsia="ru-RU"/>
        </w:rPr>
        <w:t xml:space="preserve"> </w:t>
      </w:r>
      <w:proofErr w:type="spellStart"/>
      <w:r w:rsidRPr="008145D3">
        <w:rPr>
          <w:rFonts w:ascii="Times New Roman" w:eastAsia="Times New Roman" w:hAnsi="Times New Roman" w:cs="Times New Roman"/>
          <w:sz w:val="20"/>
          <w:szCs w:val="24"/>
          <w:lang w:eastAsia="ru-RU"/>
        </w:rPr>
        <w:t>Roman</w:t>
      </w:r>
      <w:proofErr w:type="spellEnd"/>
      <w:r w:rsidRPr="008145D3">
        <w:rPr>
          <w:rFonts w:ascii="Times New Roman" w:eastAsia="Times New Roman" w:hAnsi="Times New Roman" w:cs="Times New Roman"/>
          <w:sz w:val="20"/>
          <w:szCs w:val="24"/>
          <w:lang w:eastAsia="ru-RU"/>
        </w:rPr>
        <w:t>», размер шрифта - не менее 12.</w:t>
      </w:r>
      <w:bookmarkStart w:id="5" w:name="Par175"/>
      <w:bookmarkEnd w:id="5"/>
    </w:p>
    <w:p w14:paraId="0633663C"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&lt;**&gt; Контактный телефон указывается по желанию.</w:t>
      </w:r>
    </w:p>
    <w:p w14:paraId="7CE5B5FA"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bookmarkStart w:id="6" w:name="Par176"/>
      <w:bookmarkEnd w:id="6"/>
      <w:r w:rsidRPr="008145D3">
        <w:rPr>
          <w:rFonts w:ascii="Times New Roman" w:eastAsia="Times New Roman" w:hAnsi="Times New Roman" w:cs="Times New Roman"/>
          <w:sz w:val="20"/>
          <w:szCs w:val="24"/>
          <w:lang w:eastAsia="ru-RU"/>
        </w:rPr>
        <w:t>&lt;***&gt; Печать не проставляется в случае представления списка зарегистрированным кандидатом.</w:t>
      </w:r>
    </w:p>
    <w:p w14:paraId="13834224"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p>
    <w:p w14:paraId="2D8D1E8B"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p>
    <w:p w14:paraId="19D98E91"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p>
    <w:p w14:paraId="4A3F22DF"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p>
    <w:p w14:paraId="7329A8D0" w14:textId="77777777" w:rsidR="008145D3" w:rsidRPr="008145D3" w:rsidRDefault="008145D3" w:rsidP="008145D3">
      <w:pPr>
        <w:autoSpaceDE w:val="0"/>
        <w:autoSpaceDN w:val="0"/>
        <w:adjustRightInd w:val="0"/>
        <w:spacing w:before="120" w:after="0" w:line="240" w:lineRule="auto"/>
        <w:ind w:firstLine="539"/>
        <w:jc w:val="both"/>
        <w:rPr>
          <w:rFonts w:ascii="Times New Roman" w:eastAsia="Times New Roman" w:hAnsi="Times New Roman" w:cs="Times New Roman"/>
          <w:sz w:val="20"/>
          <w:szCs w:val="24"/>
          <w:lang w:eastAsia="ru-RU"/>
        </w:rPr>
      </w:pPr>
    </w:p>
    <w:p w14:paraId="203E31AB" w14:textId="77777777" w:rsidR="008145D3" w:rsidRPr="008145D3" w:rsidRDefault="008145D3" w:rsidP="008145D3">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lastRenderedPageBreak/>
        <w:t>Приложение № 3</w:t>
      </w:r>
    </w:p>
    <w:p w14:paraId="0D043B93"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Утверждена</w:t>
      </w:r>
    </w:p>
    <w:p w14:paraId="766E30B2"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решением территориальной избирательной комиссии</w:t>
      </w:r>
    </w:p>
    <w:p w14:paraId="7C4F02A3"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Ильинского городского округа</w:t>
      </w:r>
    </w:p>
    <w:p w14:paraId="7E252FA8"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4"/>
          <w:szCs w:val="24"/>
          <w:lang w:eastAsia="ru-RU"/>
        </w:rPr>
        <w:t>от 24.07.2024 № 47/04-5</w:t>
      </w:r>
    </w:p>
    <w:p w14:paraId="73A23764"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133DECE" w14:textId="77777777" w:rsidR="008145D3" w:rsidRPr="008145D3" w:rsidRDefault="008145D3" w:rsidP="008145D3">
      <w:pPr>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4"/>
          <w:szCs w:val="24"/>
          <w:lang w:eastAsia="ru-RU"/>
        </w:rPr>
        <w:t>(машиночитаемый вид, обязательная форма)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8145D3" w:rsidRPr="008145D3" w14:paraId="7892583B" w14:textId="77777777" w:rsidTr="00B87C06">
        <w:tc>
          <w:tcPr>
            <w:tcW w:w="9062" w:type="dxa"/>
          </w:tcPr>
          <w:p w14:paraId="2DF758D5"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517AE9C"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Территориальная избирательная комиссия Ильинского городского округа</w:t>
            </w:r>
          </w:p>
        </w:tc>
      </w:tr>
      <w:tr w:rsidR="008145D3" w:rsidRPr="008145D3" w14:paraId="0D7E964F" w14:textId="77777777" w:rsidTr="00B87C06">
        <w:tc>
          <w:tcPr>
            <w:tcW w:w="9062" w:type="dxa"/>
            <w:tcBorders>
              <w:bottom w:val="single" w:sz="4" w:space="0" w:color="auto"/>
            </w:tcBorders>
          </w:tcPr>
          <w:p w14:paraId="214FCD2A"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8145D3" w:rsidRPr="008145D3" w14:paraId="0E031EE1" w14:textId="77777777" w:rsidTr="00B87C06">
        <w:tc>
          <w:tcPr>
            <w:tcW w:w="9062" w:type="dxa"/>
            <w:tcBorders>
              <w:top w:val="single" w:sz="4" w:space="0" w:color="auto"/>
            </w:tcBorders>
          </w:tcPr>
          <w:p w14:paraId="4C590434"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Выборы депутатов Думы Ильинского городского округа второго созыва</w:t>
            </w:r>
          </w:p>
        </w:tc>
      </w:tr>
      <w:tr w:rsidR="008145D3" w:rsidRPr="008145D3" w14:paraId="0C97F1BC" w14:textId="77777777" w:rsidTr="00B87C06">
        <w:tc>
          <w:tcPr>
            <w:tcW w:w="9062" w:type="dxa"/>
          </w:tcPr>
          <w:p w14:paraId="28C44501"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145D3" w:rsidRPr="008145D3" w14:paraId="173E9C75" w14:textId="77777777" w:rsidTr="00B87C06">
        <w:tc>
          <w:tcPr>
            <w:tcW w:w="9062" w:type="dxa"/>
            <w:tcBorders>
              <w:top w:val="single" w:sz="4" w:space="0" w:color="auto"/>
            </w:tcBorders>
          </w:tcPr>
          <w:p w14:paraId="3C217FE1"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0"/>
                <w:szCs w:val="24"/>
                <w:lang w:eastAsia="ru-RU"/>
              </w:rPr>
              <w:t>(номер одномандатного (многомандатного) избирательного округа)</w:t>
            </w:r>
          </w:p>
          <w:p w14:paraId="6C33B89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145D3" w:rsidRPr="008145D3" w14:paraId="669FB573" w14:textId="77777777" w:rsidTr="00B87C06">
        <w:tc>
          <w:tcPr>
            <w:tcW w:w="9062" w:type="dxa"/>
          </w:tcPr>
          <w:p w14:paraId="5804EF2C"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145D3">
              <w:rPr>
                <w:rFonts w:ascii="Times New Roman" w:eastAsia="Times New Roman" w:hAnsi="Times New Roman" w:cs="Times New Roman"/>
                <w:sz w:val="28"/>
                <w:szCs w:val="28"/>
                <w:lang w:eastAsia="ru-RU"/>
              </w:rPr>
              <w:t>СПИСОК НАБЛЮДАТЕЛЕЙ,</w:t>
            </w:r>
          </w:p>
          <w:p w14:paraId="50584D71"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5D3">
              <w:rPr>
                <w:rFonts w:ascii="Times New Roman" w:eastAsia="Times New Roman" w:hAnsi="Times New Roman" w:cs="Times New Roman"/>
                <w:sz w:val="28"/>
                <w:szCs w:val="28"/>
                <w:lang w:eastAsia="ru-RU"/>
              </w:rPr>
              <w:t>назначенных зарегистрированным кандидатом/избирательным объединением/субъектом общественного контроля</w:t>
            </w:r>
          </w:p>
        </w:tc>
      </w:tr>
      <w:tr w:rsidR="008145D3" w:rsidRPr="008145D3" w14:paraId="76DC7309" w14:textId="77777777" w:rsidTr="00B87C06">
        <w:tc>
          <w:tcPr>
            <w:tcW w:w="9062" w:type="dxa"/>
            <w:tcBorders>
              <w:bottom w:val="single" w:sz="4" w:space="0" w:color="auto"/>
            </w:tcBorders>
          </w:tcPr>
          <w:p w14:paraId="1800EEF9"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5D3" w:rsidRPr="008145D3" w14:paraId="71F8AEBB" w14:textId="77777777" w:rsidTr="00B87C06">
        <w:tc>
          <w:tcPr>
            <w:tcW w:w="9062" w:type="dxa"/>
            <w:tcBorders>
              <w:top w:val="single" w:sz="4" w:space="0" w:color="auto"/>
            </w:tcBorders>
          </w:tcPr>
          <w:p w14:paraId="02362366"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8145D3">
              <w:rPr>
                <w:rFonts w:ascii="Times New Roman" w:eastAsia="Times New Roman" w:hAnsi="Times New Roman" w:cs="Times New Roman"/>
                <w:sz w:val="20"/>
                <w:szCs w:val="24"/>
                <w:lang w:eastAsia="ru-RU"/>
              </w:rPr>
              <w:t>(фамилия, имя, отчество кандидата/наименование избирательного объединения/наименование субъекта</w:t>
            </w:r>
            <w:r w:rsidRPr="008145D3">
              <w:rPr>
                <w:rFonts w:ascii="Times New Roman" w:eastAsia="Times New Roman" w:hAnsi="Times New Roman" w:cs="Times New Roman"/>
                <w:sz w:val="24"/>
                <w:szCs w:val="28"/>
                <w:lang w:eastAsia="ru-RU"/>
              </w:rPr>
              <w:t xml:space="preserve"> </w:t>
            </w:r>
            <w:r w:rsidRPr="008145D3">
              <w:rPr>
                <w:rFonts w:ascii="Times New Roman" w:eastAsia="Times New Roman" w:hAnsi="Times New Roman" w:cs="Times New Roman"/>
                <w:sz w:val="20"/>
                <w:szCs w:val="24"/>
                <w:lang w:eastAsia="ru-RU"/>
              </w:rPr>
              <w:t>общественного контроля)</w:t>
            </w:r>
          </w:p>
        </w:tc>
      </w:tr>
    </w:tbl>
    <w:p w14:paraId="6C54425B"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tbl>
      <w:tblPr>
        <w:tblW w:w="10490" w:type="dxa"/>
        <w:tblInd w:w="-647" w:type="dxa"/>
        <w:tblLayout w:type="fixed"/>
        <w:tblCellMar>
          <w:top w:w="102" w:type="dxa"/>
          <w:left w:w="62" w:type="dxa"/>
          <w:bottom w:w="102" w:type="dxa"/>
          <w:right w:w="62" w:type="dxa"/>
        </w:tblCellMar>
        <w:tblLook w:val="0000" w:firstRow="0" w:lastRow="0" w:firstColumn="0" w:lastColumn="0" w:noHBand="0" w:noVBand="0"/>
      </w:tblPr>
      <w:tblGrid>
        <w:gridCol w:w="600"/>
        <w:gridCol w:w="1102"/>
        <w:gridCol w:w="992"/>
        <w:gridCol w:w="1893"/>
        <w:gridCol w:w="2359"/>
        <w:gridCol w:w="2001"/>
        <w:gridCol w:w="1543"/>
      </w:tblGrid>
      <w:tr w:rsidR="008145D3" w:rsidRPr="008145D3" w14:paraId="3F62AF08" w14:textId="77777777" w:rsidTr="00B87C06">
        <w:tc>
          <w:tcPr>
            <w:tcW w:w="600" w:type="dxa"/>
            <w:tcBorders>
              <w:top w:val="single" w:sz="4" w:space="0" w:color="auto"/>
              <w:left w:val="single" w:sz="4" w:space="0" w:color="auto"/>
              <w:bottom w:val="single" w:sz="4" w:space="0" w:color="auto"/>
              <w:right w:val="single" w:sz="4" w:space="0" w:color="auto"/>
            </w:tcBorders>
          </w:tcPr>
          <w:p w14:paraId="778288B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N п/п</w:t>
            </w:r>
          </w:p>
        </w:tc>
        <w:tc>
          <w:tcPr>
            <w:tcW w:w="1102" w:type="dxa"/>
            <w:tcBorders>
              <w:top w:val="single" w:sz="4" w:space="0" w:color="auto"/>
              <w:left w:val="single" w:sz="4" w:space="0" w:color="auto"/>
              <w:bottom w:val="single" w:sz="4" w:space="0" w:color="auto"/>
              <w:right w:val="single" w:sz="4" w:space="0" w:color="auto"/>
            </w:tcBorders>
          </w:tcPr>
          <w:p w14:paraId="65C44885"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Фамилия, имя, отчество</w:t>
            </w:r>
          </w:p>
        </w:tc>
        <w:tc>
          <w:tcPr>
            <w:tcW w:w="992" w:type="dxa"/>
            <w:tcBorders>
              <w:top w:val="single" w:sz="4" w:space="0" w:color="auto"/>
              <w:left w:val="single" w:sz="4" w:space="0" w:color="auto"/>
              <w:bottom w:val="single" w:sz="4" w:space="0" w:color="auto"/>
              <w:right w:val="single" w:sz="4" w:space="0" w:color="auto"/>
            </w:tcBorders>
          </w:tcPr>
          <w:p w14:paraId="361F0762"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рождения</w:t>
            </w:r>
          </w:p>
        </w:tc>
        <w:tc>
          <w:tcPr>
            <w:tcW w:w="1893" w:type="dxa"/>
            <w:tcBorders>
              <w:top w:val="single" w:sz="4" w:space="0" w:color="auto"/>
              <w:left w:val="single" w:sz="4" w:space="0" w:color="auto"/>
              <w:bottom w:val="single" w:sz="4" w:space="0" w:color="auto"/>
              <w:right w:val="single" w:sz="4" w:space="0" w:color="auto"/>
            </w:tcBorders>
          </w:tcPr>
          <w:p w14:paraId="5F6B181C"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Серия, номер и дата выдачи паспорта или документа, заменяющего паспорт гражданина</w:t>
            </w:r>
          </w:p>
        </w:tc>
        <w:tc>
          <w:tcPr>
            <w:tcW w:w="2359" w:type="dxa"/>
            <w:tcBorders>
              <w:top w:val="single" w:sz="4" w:space="0" w:color="auto"/>
              <w:left w:val="single" w:sz="4" w:space="0" w:color="auto"/>
              <w:bottom w:val="single" w:sz="4" w:space="0" w:color="auto"/>
              <w:right w:val="single" w:sz="4" w:space="0" w:color="auto"/>
            </w:tcBorders>
          </w:tcPr>
          <w:p w14:paraId="2A88DE63"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 xml:space="preserve">Адрес места жительства, контактный телефон </w:t>
            </w:r>
            <w:hyperlink w:anchor="Par228" w:history="1">
              <w:r w:rsidRPr="008145D3">
                <w:rPr>
                  <w:rFonts w:ascii="Times New Roman" w:eastAsia="Times New Roman" w:hAnsi="Times New Roman" w:cs="Times New Roman"/>
                  <w:sz w:val="20"/>
                  <w:szCs w:val="24"/>
                  <w:lang w:eastAsia="ru-RU"/>
                </w:rPr>
                <w:t>&lt;*&gt;</w:t>
              </w:r>
            </w:hyperlink>
          </w:p>
        </w:tc>
        <w:tc>
          <w:tcPr>
            <w:tcW w:w="2001" w:type="dxa"/>
            <w:tcBorders>
              <w:top w:val="single" w:sz="4" w:space="0" w:color="auto"/>
              <w:left w:val="single" w:sz="4" w:space="0" w:color="auto"/>
              <w:bottom w:val="single" w:sz="4" w:space="0" w:color="auto"/>
              <w:right w:val="single" w:sz="4" w:space="0" w:color="auto"/>
            </w:tcBorders>
          </w:tcPr>
          <w:p w14:paraId="5FC84B3D"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Номер избирательного участка (для назначенных в участковую избирательную комиссию)</w:t>
            </w:r>
          </w:p>
        </w:tc>
        <w:tc>
          <w:tcPr>
            <w:tcW w:w="1543" w:type="dxa"/>
            <w:tcBorders>
              <w:top w:val="single" w:sz="4" w:space="0" w:color="auto"/>
              <w:left w:val="single" w:sz="4" w:space="0" w:color="auto"/>
              <w:bottom w:val="single" w:sz="4" w:space="0" w:color="auto"/>
              <w:right w:val="single" w:sz="4" w:space="0" w:color="auto"/>
            </w:tcBorders>
          </w:tcPr>
          <w:p w14:paraId="21FB43BF"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Дата осуществления наблюдения</w:t>
            </w:r>
          </w:p>
        </w:tc>
      </w:tr>
      <w:tr w:rsidR="008145D3" w:rsidRPr="008145D3" w14:paraId="6C490076" w14:textId="77777777" w:rsidTr="00B87C06">
        <w:tc>
          <w:tcPr>
            <w:tcW w:w="600" w:type="dxa"/>
            <w:tcBorders>
              <w:top w:val="single" w:sz="4" w:space="0" w:color="auto"/>
              <w:left w:val="single" w:sz="4" w:space="0" w:color="auto"/>
              <w:bottom w:val="single" w:sz="4" w:space="0" w:color="auto"/>
              <w:right w:val="single" w:sz="4" w:space="0" w:color="auto"/>
            </w:tcBorders>
          </w:tcPr>
          <w:p w14:paraId="47E1AC09"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1</w:t>
            </w:r>
          </w:p>
        </w:tc>
        <w:tc>
          <w:tcPr>
            <w:tcW w:w="1102" w:type="dxa"/>
            <w:tcBorders>
              <w:top w:val="single" w:sz="4" w:space="0" w:color="auto"/>
              <w:left w:val="single" w:sz="4" w:space="0" w:color="auto"/>
              <w:bottom w:val="single" w:sz="4" w:space="0" w:color="auto"/>
              <w:right w:val="single" w:sz="4" w:space="0" w:color="auto"/>
            </w:tcBorders>
          </w:tcPr>
          <w:p w14:paraId="37919EDA"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2</w:t>
            </w:r>
          </w:p>
        </w:tc>
        <w:tc>
          <w:tcPr>
            <w:tcW w:w="992" w:type="dxa"/>
            <w:tcBorders>
              <w:top w:val="single" w:sz="4" w:space="0" w:color="auto"/>
              <w:left w:val="single" w:sz="4" w:space="0" w:color="auto"/>
              <w:bottom w:val="single" w:sz="4" w:space="0" w:color="auto"/>
              <w:right w:val="single" w:sz="4" w:space="0" w:color="auto"/>
            </w:tcBorders>
          </w:tcPr>
          <w:p w14:paraId="6887D2E8"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3</w:t>
            </w:r>
          </w:p>
        </w:tc>
        <w:tc>
          <w:tcPr>
            <w:tcW w:w="1893" w:type="dxa"/>
            <w:tcBorders>
              <w:top w:val="single" w:sz="4" w:space="0" w:color="auto"/>
              <w:left w:val="single" w:sz="4" w:space="0" w:color="auto"/>
              <w:bottom w:val="single" w:sz="4" w:space="0" w:color="auto"/>
              <w:right w:val="single" w:sz="4" w:space="0" w:color="auto"/>
            </w:tcBorders>
          </w:tcPr>
          <w:p w14:paraId="3DB2F396"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4</w:t>
            </w:r>
          </w:p>
        </w:tc>
        <w:tc>
          <w:tcPr>
            <w:tcW w:w="2359" w:type="dxa"/>
            <w:tcBorders>
              <w:top w:val="single" w:sz="4" w:space="0" w:color="auto"/>
              <w:left w:val="single" w:sz="4" w:space="0" w:color="auto"/>
              <w:bottom w:val="single" w:sz="4" w:space="0" w:color="auto"/>
              <w:right w:val="single" w:sz="4" w:space="0" w:color="auto"/>
            </w:tcBorders>
          </w:tcPr>
          <w:p w14:paraId="15378B26"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5</w:t>
            </w:r>
          </w:p>
        </w:tc>
        <w:tc>
          <w:tcPr>
            <w:tcW w:w="2001" w:type="dxa"/>
            <w:tcBorders>
              <w:top w:val="single" w:sz="4" w:space="0" w:color="auto"/>
              <w:left w:val="single" w:sz="4" w:space="0" w:color="auto"/>
              <w:bottom w:val="single" w:sz="4" w:space="0" w:color="auto"/>
              <w:right w:val="single" w:sz="4" w:space="0" w:color="auto"/>
            </w:tcBorders>
          </w:tcPr>
          <w:p w14:paraId="0EE1F97D"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6</w:t>
            </w:r>
          </w:p>
        </w:tc>
        <w:tc>
          <w:tcPr>
            <w:tcW w:w="1543" w:type="dxa"/>
            <w:tcBorders>
              <w:top w:val="single" w:sz="4" w:space="0" w:color="auto"/>
              <w:left w:val="single" w:sz="4" w:space="0" w:color="auto"/>
              <w:bottom w:val="single" w:sz="4" w:space="0" w:color="auto"/>
              <w:right w:val="single" w:sz="4" w:space="0" w:color="auto"/>
            </w:tcBorders>
          </w:tcPr>
          <w:p w14:paraId="0E2CEB3B" w14:textId="77777777" w:rsidR="008145D3" w:rsidRPr="008145D3" w:rsidRDefault="008145D3" w:rsidP="008145D3">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145D3">
              <w:rPr>
                <w:rFonts w:ascii="Times New Roman" w:eastAsia="Times New Roman" w:hAnsi="Times New Roman" w:cs="Times New Roman"/>
                <w:sz w:val="20"/>
                <w:szCs w:val="24"/>
                <w:lang w:eastAsia="ru-RU"/>
              </w:rPr>
              <w:t>7</w:t>
            </w:r>
          </w:p>
        </w:tc>
      </w:tr>
      <w:tr w:rsidR="008145D3" w:rsidRPr="008145D3" w14:paraId="75092582" w14:textId="77777777" w:rsidTr="00B87C06">
        <w:tc>
          <w:tcPr>
            <w:tcW w:w="600" w:type="dxa"/>
            <w:tcBorders>
              <w:top w:val="single" w:sz="4" w:space="0" w:color="auto"/>
              <w:left w:val="single" w:sz="4" w:space="0" w:color="auto"/>
              <w:bottom w:val="single" w:sz="4" w:space="0" w:color="auto"/>
              <w:right w:val="single" w:sz="4" w:space="0" w:color="auto"/>
            </w:tcBorders>
            <w:vAlign w:val="center"/>
          </w:tcPr>
          <w:p w14:paraId="47A39A64"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102" w:type="dxa"/>
            <w:tcBorders>
              <w:top w:val="single" w:sz="4" w:space="0" w:color="auto"/>
              <w:left w:val="single" w:sz="4" w:space="0" w:color="auto"/>
              <w:bottom w:val="single" w:sz="4" w:space="0" w:color="auto"/>
              <w:right w:val="single" w:sz="4" w:space="0" w:color="auto"/>
            </w:tcBorders>
            <w:vAlign w:val="center"/>
          </w:tcPr>
          <w:p w14:paraId="6A66BAFA"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0220020F"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893" w:type="dxa"/>
            <w:tcBorders>
              <w:top w:val="single" w:sz="4" w:space="0" w:color="auto"/>
              <w:left w:val="single" w:sz="4" w:space="0" w:color="auto"/>
              <w:bottom w:val="single" w:sz="4" w:space="0" w:color="auto"/>
              <w:right w:val="single" w:sz="4" w:space="0" w:color="auto"/>
            </w:tcBorders>
            <w:vAlign w:val="center"/>
          </w:tcPr>
          <w:p w14:paraId="20FBA8E2"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2359" w:type="dxa"/>
            <w:tcBorders>
              <w:top w:val="single" w:sz="4" w:space="0" w:color="auto"/>
              <w:left w:val="single" w:sz="4" w:space="0" w:color="auto"/>
              <w:bottom w:val="single" w:sz="4" w:space="0" w:color="auto"/>
              <w:right w:val="single" w:sz="4" w:space="0" w:color="auto"/>
            </w:tcBorders>
            <w:vAlign w:val="center"/>
          </w:tcPr>
          <w:p w14:paraId="718A98C1"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2001" w:type="dxa"/>
            <w:tcBorders>
              <w:top w:val="single" w:sz="4" w:space="0" w:color="auto"/>
              <w:left w:val="single" w:sz="4" w:space="0" w:color="auto"/>
              <w:bottom w:val="single" w:sz="4" w:space="0" w:color="auto"/>
              <w:right w:val="single" w:sz="4" w:space="0" w:color="auto"/>
            </w:tcBorders>
            <w:vAlign w:val="center"/>
          </w:tcPr>
          <w:p w14:paraId="6D130CDC"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c>
          <w:tcPr>
            <w:tcW w:w="1543" w:type="dxa"/>
            <w:tcBorders>
              <w:top w:val="single" w:sz="4" w:space="0" w:color="auto"/>
              <w:left w:val="single" w:sz="4" w:space="0" w:color="auto"/>
              <w:bottom w:val="single" w:sz="4" w:space="0" w:color="auto"/>
              <w:right w:val="single" w:sz="4" w:space="0" w:color="auto"/>
            </w:tcBorders>
          </w:tcPr>
          <w:p w14:paraId="0EE151BB" w14:textId="77777777" w:rsidR="008145D3" w:rsidRPr="008145D3" w:rsidRDefault="008145D3" w:rsidP="008145D3">
            <w:pPr>
              <w:autoSpaceDE w:val="0"/>
              <w:autoSpaceDN w:val="0"/>
              <w:adjustRightInd w:val="0"/>
              <w:spacing w:after="0" w:line="240" w:lineRule="auto"/>
              <w:rPr>
                <w:rFonts w:ascii="Times New Roman" w:eastAsia="Times New Roman" w:hAnsi="Times New Roman" w:cs="Times New Roman"/>
                <w:sz w:val="24"/>
                <w:szCs w:val="28"/>
                <w:lang w:eastAsia="ru-RU"/>
              </w:rPr>
            </w:pPr>
          </w:p>
        </w:tc>
      </w:tr>
    </w:tbl>
    <w:p w14:paraId="7AF0DD5D"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4"/>
          <w:szCs w:val="28"/>
          <w:lang w:eastAsia="ru-RU"/>
        </w:rPr>
      </w:pPr>
    </w:p>
    <w:p w14:paraId="056943C8" w14:textId="77777777" w:rsidR="008145D3" w:rsidRPr="008145D3" w:rsidRDefault="008145D3" w:rsidP="008145D3">
      <w:pPr>
        <w:autoSpaceDE w:val="0"/>
        <w:autoSpaceDN w:val="0"/>
        <w:adjustRightInd w:val="0"/>
        <w:spacing w:before="280" w:after="0" w:line="240" w:lineRule="auto"/>
        <w:ind w:firstLine="540"/>
        <w:jc w:val="both"/>
        <w:rPr>
          <w:rFonts w:ascii="Times New Roman" w:eastAsia="Times New Roman" w:hAnsi="Times New Roman" w:cs="Times New Roman"/>
          <w:sz w:val="20"/>
          <w:szCs w:val="24"/>
          <w:lang w:eastAsia="ru-RU"/>
        </w:rPr>
      </w:pPr>
      <w:bookmarkStart w:id="7" w:name="Par228"/>
      <w:bookmarkEnd w:id="7"/>
      <w:r w:rsidRPr="008145D3">
        <w:rPr>
          <w:rFonts w:ascii="Times New Roman" w:eastAsia="Times New Roman" w:hAnsi="Times New Roman" w:cs="Times New Roman"/>
          <w:sz w:val="20"/>
          <w:szCs w:val="24"/>
          <w:lang w:eastAsia="ru-RU"/>
        </w:rPr>
        <w:t>&lt;*&gt; Контактный телефон указывается при наличии</w:t>
      </w:r>
    </w:p>
    <w:p w14:paraId="325A0109" w14:textId="77777777" w:rsidR="008145D3" w:rsidRPr="008145D3" w:rsidRDefault="008145D3" w:rsidP="008145D3">
      <w:pPr>
        <w:autoSpaceDE w:val="0"/>
        <w:autoSpaceDN w:val="0"/>
        <w:adjustRightInd w:val="0"/>
        <w:spacing w:after="0" w:line="240" w:lineRule="auto"/>
        <w:jc w:val="both"/>
        <w:rPr>
          <w:rFonts w:ascii="Times New Roman" w:eastAsia="Times New Roman" w:hAnsi="Times New Roman" w:cs="Times New Roman"/>
          <w:sz w:val="20"/>
          <w:szCs w:val="24"/>
          <w:lang w:eastAsia="ru-RU"/>
        </w:rPr>
      </w:pPr>
    </w:p>
    <w:p w14:paraId="41E684A5" w14:textId="77777777" w:rsidR="008145D3" w:rsidRPr="008145D3" w:rsidRDefault="008145D3" w:rsidP="008145D3">
      <w:pPr>
        <w:spacing w:after="120" w:line="240" w:lineRule="auto"/>
        <w:rPr>
          <w:rFonts w:ascii="Times New Roman" w:eastAsia="Times New Roman" w:hAnsi="Times New Roman" w:cs="Times New Roman"/>
          <w:sz w:val="24"/>
          <w:szCs w:val="24"/>
          <w:lang w:eastAsia="x-none"/>
        </w:rPr>
      </w:pPr>
    </w:p>
    <w:p w14:paraId="3CC585DF" w14:textId="77777777" w:rsidR="00205AE5" w:rsidRDefault="00205AE5"/>
    <w:sectPr w:rsidR="00205AE5" w:rsidSect="008145D3">
      <w:pgSz w:w="11906" w:h="16838"/>
      <w:pgMar w:top="851" w:right="851"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5D3"/>
    <w:rsid w:val="00205AE5"/>
    <w:rsid w:val="00595787"/>
    <w:rsid w:val="00814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F49E6"/>
  <w15:chartTrackingRefBased/>
  <w15:docId w15:val="{4C8135FA-60FA-484D-BC31-260A122C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14836&amp;dst=100066" TargetMode="External"/><Relationship Id="rId13" Type="http://schemas.openxmlformats.org/officeDocument/2006/relationships/hyperlink" Target="https://login.consultant.ru/link/?req=doc&amp;base=LAW&amp;n=476455&amp;dst=102111"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14836&amp;dst=100065" TargetMode="External"/><Relationship Id="rId12" Type="http://schemas.openxmlformats.org/officeDocument/2006/relationships/hyperlink" Target="https://login.consultant.ru/link/?req=doc&amp;base=LAW&amp;n=476455&amp;dst=1021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76455&amp;dst=101913" TargetMode="External"/><Relationship Id="rId11" Type="http://schemas.openxmlformats.org/officeDocument/2006/relationships/hyperlink" Target="https://login.consultant.ru/link/?req=doc&amp;base=LAW&amp;n=476455&amp;dst=102111" TargetMode="External"/><Relationship Id="rId5" Type="http://schemas.openxmlformats.org/officeDocument/2006/relationships/hyperlink" Target="https://login.consultant.ru/link/?req=doc&amp;base=LAW&amp;n=476455&amp;dst=100321" TargetMode="External"/><Relationship Id="rId15" Type="http://schemas.openxmlformats.org/officeDocument/2006/relationships/theme" Target="theme/theme1.xml"/><Relationship Id="rId10" Type="http://schemas.openxmlformats.org/officeDocument/2006/relationships/hyperlink" Target="https://login.consultant.ru/link/?req=doc&amp;base=LAW&amp;n=476455&amp;dst=102111" TargetMode="External"/><Relationship Id="rId4" Type="http://schemas.openxmlformats.org/officeDocument/2006/relationships/hyperlink" Target="https://login.consultant.ru/link/?req=doc&amp;base=LAW&amp;n=476455&amp;dst=102112" TargetMode="External"/><Relationship Id="rId9" Type="http://schemas.openxmlformats.org/officeDocument/2006/relationships/hyperlink" Target="https://login.consultant.ru/link/?req=doc&amp;base=LAW&amp;n=476455&amp;dst=10211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2030</Words>
  <Characters>11573</Characters>
  <Application>Microsoft Office Word</Application>
  <DocSecurity>0</DocSecurity>
  <Lines>96</Lines>
  <Paragraphs>27</Paragraphs>
  <ScaleCrop>false</ScaleCrop>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2024-07-24T07:13:00Z</dcterms:created>
  <dcterms:modified xsi:type="dcterms:W3CDTF">2024-07-24T07:17:00Z</dcterms:modified>
</cp:coreProperties>
</file>